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9C" w:rsidRPr="00673150" w:rsidRDefault="009D4E9C" w:rsidP="002A2EFB">
      <w:pPr>
        <w:pStyle w:val="Affiliation0"/>
        <w:spacing w:line="360" w:lineRule="auto"/>
      </w:pPr>
    </w:p>
    <w:p w:rsidR="009D4E9C" w:rsidRPr="00673150" w:rsidRDefault="009D4E9C" w:rsidP="002A2EFB">
      <w:pPr>
        <w:pStyle w:val="Author0"/>
        <w:spacing w:line="360" w:lineRule="auto"/>
        <w:rPr>
          <w:b/>
          <w:sz w:val="32"/>
          <w:szCs w:val="32"/>
          <w:lang w:val="en-US"/>
        </w:rPr>
      </w:pPr>
      <w:r w:rsidRPr="00673150">
        <w:rPr>
          <w:b/>
          <w:sz w:val="32"/>
          <w:szCs w:val="32"/>
          <w:lang w:val="en-US"/>
        </w:rPr>
        <w:t>Cost-Effectiveness ratio for comparing social and health policies</w:t>
      </w:r>
    </w:p>
    <w:p w:rsidR="009D4E9C" w:rsidRPr="001D040E" w:rsidRDefault="009D4E9C" w:rsidP="002A2EFB">
      <w:pPr>
        <w:pStyle w:val="Affiliation0"/>
        <w:spacing w:line="360" w:lineRule="auto"/>
        <w:jc w:val="left"/>
        <w:rPr>
          <w:lang w:val="en-GB"/>
        </w:rPr>
      </w:pPr>
    </w:p>
    <w:p w:rsidR="009D4E9C" w:rsidRPr="00673150" w:rsidRDefault="009D4E9C" w:rsidP="002A2EFB">
      <w:pPr>
        <w:pStyle w:val="Author0"/>
        <w:spacing w:line="360" w:lineRule="auto"/>
        <w:rPr>
          <w:sz w:val="22"/>
          <w:szCs w:val="22"/>
        </w:rPr>
      </w:pPr>
      <w:r w:rsidRPr="00673150">
        <w:rPr>
          <w:sz w:val="22"/>
          <w:szCs w:val="22"/>
        </w:rPr>
        <w:t>CARLOTTA GALEONE</w:t>
      </w:r>
    </w:p>
    <w:p w:rsidR="009D4E9C" w:rsidRPr="00673150" w:rsidRDefault="009D4E9C" w:rsidP="002A2EFB">
      <w:pPr>
        <w:pStyle w:val="Author0"/>
        <w:spacing w:line="360" w:lineRule="auto"/>
        <w:rPr>
          <w:rStyle w:val="AffiliationCarattere"/>
          <w:i/>
          <w:iCs/>
          <w:sz w:val="22"/>
          <w:szCs w:val="22"/>
          <w:lang w:val="it-IT"/>
        </w:rPr>
      </w:pPr>
      <w:r w:rsidRPr="00673150">
        <w:rPr>
          <w:rStyle w:val="AffiliationCarattere"/>
          <w:i/>
          <w:iCs/>
          <w:sz w:val="22"/>
          <w:szCs w:val="22"/>
          <w:lang w:val="it-IT"/>
        </w:rPr>
        <w:t xml:space="preserve">Dipartimento di </w:t>
      </w:r>
      <w:r>
        <w:rPr>
          <w:rStyle w:val="AffiliationCarattere"/>
          <w:i/>
          <w:iCs/>
          <w:sz w:val="22"/>
          <w:szCs w:val="22"/>
          <w:lang w:val="it-IT"/>
        </w:rPr>
        <w:t xml:space="preserve">Scienze Cliniche e di Comunità, </w:t>
      </w:r>
      <w:r w:rsidRPr="00673150">
        <w:rPr>
          <w:rStyle w:val="AffiliationCarattere"/>
          <w:i/>
          <w:iCs/>
          <w:sz w:val="22"/>
          <w:szCs w:val="22"/>
          <w:lang w:val="it-IT"/>
        </w:rPr>
        <w:t>Università degli Studi di Milano</w:t>
      </w:r>
    </w:p>
    <w:p w:rsidR="009D4E9C" w:rsidRPr="00673150" w:rsidRDefault="009D4E9C" w:rsidP="002A2EFB">
      <w:pPr>
        <w:pStyle w:val="Affiliation0"/>
        <w:spacing w:line="360" w:lineRule="auto"/>
        <w:rPr>
          <w:rStyle w:val="AffiliationCarattere"/>
          <w:i/>
          <w:iCs/>
          <w:sz w:val="22"/>
          <w:szCs w:val="22"/>
          <w:lang w:val="it-IT"/>
        </w:rPr>
      </w:pPr>
      <w:r w:rsidRPr="00673150">
        <w:rPr>
          <w:rStyle w:val="AffiliationCarattere"/>
          <w:i/>
          <w:iCs/>
          <w:sz w:val="22"/>
          <w:szCs w:val="22"/>
          <w:lang w:val="it-IT"/>
        </w:rPr>
        <w:t>Dipartimento di Epidemiologia</w:t>
      </w:r>
      <w:r w:rsidRPr="00655B47">
        <w:rPr>
          <w:lang w:val="it-IT"/>
        </w:rPr>
        <w:t xml:space="preserve"> , </w:t>
      </w:r>
      <w:r w:rsidRPr="00655B47">
        <w:rPr>
          <w:i/>
          <w:lang w:val="it-IT"/>
        </w:rPr>
        <w:t>IRCSS</w:t>
      </w:r>
      <w:r w:rsidRPr="00673150">
        <w:rPr>
          <w:rStyle w:val="AffiliationCarattere"/>
          <w:i/>
          <w:iCs/>
          <w:sz w:val="22"/>
          <w:szCs w:val="22"/>
          <w:lang w:val="it-IT"/>
        </w:rPr>
        <w:t>, Istituto di Ricerche Farmacologiche “Mario Negri”, Milano</w:t>
      </w:r>
    </w:p>
    <w:p w:rsidR="009D4E9C" w:rsidRPr="00655B47" w:rsidRDefault="009D4E9C" w:rsidP="002A2EFB">
      <w:pPr>
        <w:pStyle w:val="Affiliation0"/>
        <w:spacing w:line="360" w:lineRule="auto"/>
        <w:rPr>
          <w:lang w:val="it-IT"/>
        </w:rPr>
      </w:pPr>
      <w:hyperlink r:id="rId7" w:history="1">
        <w:r w:rsidRPr="00655B47">
          <w:rPr>
            <w:rStyle w:val="Hyperlink"/>
            <w:i/>
            <w:iCs/>
            <w:sz w:val="22"/>
            <w:szCs w:val="22"/>
            <w:lang w:val="it-IT"/>
          </w:rPr>
          <w:t>carlotta.galeone@unimi.it</w:t>
        </w:r>
      </w:hyperlink>
    </w:p>
    <w:p w:rsidR="009D4E9C" w:rsidRPr="00655B47" w:rsidRDefault="009D4E9C" w:rsidP="002A2EFB">
      <w:pPr>
        <w:pStyle w:val="Affiliation0"/>
        <w:spacing w:line="360" w:lineRule="auto"/>
        <w:rPr>
          <w:rStyle w:val="AffiliationCarattere"/>
          <w:i/>
          <w:iCs/>
          <w:sz w:val="22"/>
          <w:szCs w:val="22"/>
          <w:lang w:val="it-IT"/>
        </w:rPr>
      </w:pPr>
    </w:p>
    <w:p w:rsidR="009D4E9C" w:rsidRPr="00673150" w:rsidRDefault="009D4E9C" w:rsidP="00655B47">
      <w:pPr>
        <w:pStyle w:val="Author0"/>
        <w:spacing w:line="360" w:lineRule="auto"/>
        <w:rPr>
          <w:sz w:val="22"/>
          <w:szCs w:val="22"/>
          <w:vertAlign w:val="superscript"/>
        </w:rPr>
      </w:pPr>
      <w:r w:rsidRPr="00673150">
        <w:rPr>
          <w:sz w:val="22"/>
          <w:szCs w:val="22"/>
        </w:rPr>
        <w:t>ANGIOLA POLLASTRI</w:t>
      </w:r>
    </w:p>
    <w:p w:rsidR="009D4E9C" w:rsidRPr="00673150" w:rsidRDefault="009D4E9C" w:rsidP="00655B47">
      <w:pPr>
        <w:pStyle w:val="Affiliation0"/>
        <w:spacing w:line="360" w:lineRule="auto"/>
        <w:rPr>
          <w:rStyle w:val="AffiliationCarattere"/>
          <w:i/>
          <w:iCs/>
          <w:sz w:val="22"/>
          <w:szCs w:val="22"/>
          <w:lang w:val="it-IT"/>
        </w:rPr>
      </w:pPr>
      <w:r w:rsidRPr="00673150">
        <w:rPr>
          <w:rStyle w:val="AffiliationCarattere"/>
          <w:i/>
          <w:iCs/>
          <w:sz w:val="22"/>
          <w:szCs w:val="22"/>
          <w:lang w:val="it-IT"/>
        </w:rPr>
        <w:t>Dipartimento di Statistica e Metodi Quantitativi, Università degli Studi di Milano-Bicocca.</w:t>
      </w:r>
    </w:p>
    <w:p w:rsidR="009D4E9C" w:rsidRPr="001D040E" w:rsidRDefault="009D4E9C" w:rsidP="00655B47">
      <w:pPr>
        <w:pStyle w:val="Affiliation0"/>
        <w:spacing w:line="360" w:lineRule="auto"/>
        <w:rPr>
          <w:rStyle w:val="AffiliationCarattere"/>
          <w:i/>
          <w:iCs/>
          <w:sz w:val="22"/>
          <w:szCs w:val="22"/>
          <w:lang w:val="en-GB"/>
        </w:rPr>
      </w:pPr>
      <w:hyperlink r:id="rId8" w:history="1">
        <w:r w:rsidRPr="00655B47">
          <w:rPr>
            <w:rStyle w:val="Hyperlink"/>
            <w:i/>
            <w:iCs/>
            <w:sz w:val="22"/>
            <w:szCs w:val="22"/>
          </w:rPr>
          <w:t>angiola.pollastri@unimib.it</w:t>
        </w:r>
      </w:hyperlink>
    </w:p>
    <w:p w:rsidR="009D4E9C" w:rsidRPr="00673150" w:rsidRDefault="009D4E9C" w:rsidP="002A2EFB">
      <w:pPr>
        <w:pStyle w:val="Affiliation0"/>
        <w:spacing w:line="360" w:lineRule="auto"/>
        <w:rPr>
          <w:rStyle w:val="Keywordsheading"/>
          <w:b w:val="0"/>
          <w:bCs w:val="0"/>
          <w:sz w:val="22"/>
          <w:szCs w:val="22"/>
          <w:lang w:eastAsia="it-IT"/>
        </w:rPr>
      </w:pPr>
    </w:p>
    <w:p w:rsidR="009D4E9C" w:rsidRDefault="009D4E9C" w:rsidP="002A2EFB">
      <w:pPr>
        <w:spacing w:line="360" w:lineRule="auto"/>
        <w:jc w:val="both"/>
        <w:rPr>
          <w:b/>
          <w:bCs/>
          <w:color w:val="000000"/>
          <w:sz w:val="22"/>
          <w:szCs w:val="22"/>
          <w:lang w:val="en-US"/>
        </w:rPr>
      </w:pPr>
      <w:r w:rsidRPr="00673150">
        <w:rPr>
          <w:b/>
          <w:bCs/>
          <w:color w:val="000000"/>
          <w:sz w:val="22"/>
          <w:szCs w:val="22"/>
          <w:lang w:val="en-US"/>
        </w:rPr>
        <w:t>Abstract</w:t>
      </w:r>
    </w:p>
    <w:p w:rsidR="009D4E9C" w:rsidRDefault="009D4E9C" w:rsidP="002A2EFB">
      <w:pPr>
        <w:spacing w:line="360" w:lineRule="auto"/>
        <w:jc w:val="both"/>
        <w:rPr>
          <w:color w:val="000000"/>
          <w:lang w:val="en-US"/>
        </w:rPr>
      </w:pPr>
      <w:r w:rsidRPr="00FC6750">
        <w:rPr>
          <w:color w:val="000000"/>
          <w:lang w:val="en-US"/>
        </w:rPr>
        <w:t>Analysis of the incremental cost-effectiveness ratio</w:t>
      </w:r>
      <w:r>
        <w:rPr>
          <w:color w:val="000000"/>
          <w:lang w:val="en-US"/>
        </w:rPr>
        <w:t xml:space="preserve"> (ICER)</w:t>
      </w:r>
      <w:r w:rsidRPr="00FC6750">
        <w:rPr>
          <w:color w:val="000000"/>
          <w:lang w:val="en-US"/>
        </w:rPr>
        <w:t xml:space="preserve"> is an important part of the </w:t>
      </w:r>
      <w:r>
        <w:rPr>
          <w:color w:val="000000"/>
          <w:lang w:val="en-US"/>
        </w:rPr>
        <w:t xml:space="preserve">social and health </w:t>
      </w:r>
      <w:r w:rsidRPr="00FC6750">
        <w:rPr>
          <w:color w:val="000000"/>
          <w:lang w:val="en-US"/>
        </w:rPr>
        <w:t xml:space="preserve">decision-making process </w:t>
      </w:r>
      <w:r>
        <w:rPr>
          <w:color w:val="000000"/>
          <w:lang w:val="en-US"/>
        </w:rPr>
        <w:t>because ICER is used to obtain simultaneous information on cost and effectiveness of a new intervention when compared to another one.</w:t>
      </w:r>
    </w:p>
    <w:p w:rsidR="009D4E9C" w:rsidRPr="001F6F2F" w:rsidRDefault="009D4E9C" w:rsidP="002A2EFB">
      <w:pPr>
        <w:spacing w:line="360" w:lineRule="auto"/>
        <w:jc w:val="both"/>
        <w:rPr>
          <w:color w:val="000000"/>
          <w:lang w:val="en-US"/>
        </w:rPr>
      </w:pPr>
      <w:r w:rsidRPr="00FC6750">
        <w:rPr>
          <w:color w:val="000000"/>
          <w:lang w:val="en-US"/>
        </w:rPr>
        <w:t xml:space="preserve">Despite increasing use of the ICER, studies on its statistical methodology have still not been sufficiently developed. </w:t>
      </w:r>
      <w:r>
        <w:rPr>
          <w:color w:val="000000"/>
          <w:lang w:val="en-US"/>
        </w:rPr>
        <w:t xml:space="preserve">In particular, the calculation of the confidence interval for the ICER is fundamental </w:t>
      </w:r>
      <w:r w:rsidRPr="00FC6750">
        <w:rPr>
          <w:color w:val="000000"/>
          <w:lang w:val="en-US"/>
        </w:rPr>
        <w:t>to take</w:t>
      </w:r>
      <w:r>
        <w:rPr>
          <w:color w:val="000000"/>
          <w:lang w:val="en-US"/>
        </w:rPr>
        <w:t xml:space="preserve"> into account </w:t>
      </w:r>
      <w:r w:rsidRPr="00FC6750">
        <w:rPr>
          <w:color w:val="000000"/>
          <w:lang w:val="en-US"/>
        </w:rPr>
        <w:t>the uncertainty due to differences in samples</w:t>
      </w:r>
      <w:r>
        <w:rPr>
          <w:color w:val="000000"/>
          <w:lang w:val="en-US"/>
        </w:rPr>
        <w:t>. In this paper, a</w:t>
      </w:r>
      <w:r w:rsidRPr="00FC6750">
        <w:rPr>
          <w:color w:val="000000"/>
          <w:lang w:val="en-US"/>
        </w:rPr>
        <w:t xml:space="preserve"> new parametric technique for the construction of confidence intervals for the </w:t>
      </w:r>
      <w:r>
        <w:rPr>
          <w:color w:val="000000"/>
          <w:lang w:val="en-US"/>
        </w:rPr>
        <w:t>ICER</w:t>
      </w:r>
      <w:r w:rsidRPr="00FC6750">
        <w:rPr>
          <w:color w:val="000000"/>
          <w:lang w:val="en-US"/>
        </w:rPr>
        <w:t xml:space="preserve"> is proposed. It is based on distribution of the ratio of two correlated normal variables. The method discussed always exists, despite the </w:t>
      </w:r>
      <w:r>
        <w:rPr>
          <w:color w:val="000000"/>
          <w:lang w:val="en-US"/>
        </w:rPr>
        <w:t xml:space="preserve">degenerate cases of </w:t>
      </w:r>
      <w:r w:rsidRPr="00FC6750">
        <w:rPr>
          <w:color w:val="000000"/>
          <w:lang w:val="en-US"/>
        </w:rPr>
        <w:t xml:space="preserve">classical </w:t>
      </w:r>
      <w:r>
        <w:rPr>
          <w:color w:val="000000"/>
          <w:lang w:val="en-US"/>
        </w:rPr>
        <w:t xml:space="preserve">parametric </w:t>
      </w:r>
      <w:r w:rsidRPr="00FC6750">
        <w:rPr>
          <w:color w:val="000000"/>
          <w:lang w:val="en-US"/>
        </w:rPr>
        <w:t>method proposed by Fieller</w:t>
      </w:r>
      <w:r>
        <w:rPr>
          <w:color w:val="000000"/>
          <w:lang w:val="en-US"/>
        </w:rPr>
        <w:t xml:space="preserve"> for which the classical region is not an interval</w:t>
      </w:r>
      <w:r w:rsidRPr="00FC6750">
        <w:rPr>
          <w:color w:val="000000"/>
          <w:lang w:val="en-US"/>
        </w:rPr>
        <w:t xml:space="preserve">. Computation of </w:t>
      </w:r>
      <w:r>
        <w:rPr>
          <w:color w:val="000000"/>
          <w:lang w:val="en-US"/>
        </w:rPr>
        <w:t>the</w:t>
      </w:r>
      <w:r w:rsidRPr="00FC6750">
        <w:rPr>
          <w:color w:val="000000"/>
          <w:lang w:val="en-US"/>
        </w:rPr>
        <w:t xml:space="preserve"> confidence intervals </w:t>
      </w:r>
      <w:r>
        <w:rPr>
          <w:color w:val="000000"/>
          <w:lang w:val="en-US"/>
        </w:rPr>
        <w:t xml:space="preserve">proposed in the present paper </w:t>
      </w:r>
      <w:r w:rsidRPr="00FC6750">
        <w:rPr>
          <w:color w:val="000000"/>
          <w:lang w:val="en-US"/>
        </w:rPr>
        <w:t>may also be achieved  in a feasible way.</w:t>
      </w:r>
    </w:p>
    <w:p w:rsidR="009D4E9C" w:rsidRDefault="009D4E9C" w:rsidP="002A2EFB">
      <w:pPr>
        <w:spacing w:line="360" w:lineRule="auto"/>
        <w:jc w:val="both"/>
        <w:rPr>
          <w:b/>
          <w:bCs/>
          <w:color w:val="000000"/>
          <w:sz w:val="22"/>
          <w:szCs w:val="22"/>
          <w:lang w:val="en-US"/>
        </w:rPr>
      </w:pPr>
    </w:p>
    <w:p w:rsidR="009D4E9C" w:rsidRDefault="009D4E9C" w:rsidP="002A2EFB">
      <w:pPr>
        <w:spacing w:line="360" w:lineRule="auto"/>
        <w:jc w:val="both"/>
        <w:rPr>
          <w:b/>
          <w:bCs/>
          <w:color w:val="000000"/>
          <w:sz w:val="22"/>
          <w:szCs w:val="22"/>
          <w:lang w:val="en-US"/>
        </w:rPr>
      </w:pPr>
      <w:r w:rsidRPr="00673150">
        <w:rPr>
          <w:b/>
          <w:bCs/>
          <w:color w:val="000000"/>
          <w:sz w:val="22"/>
          <w:szCs w:val="22"/>
          <w:lang w:val="en-US"/>
        </w:rPr>
        <w:t>Keywords</w:t>
      </w:r>
    </w:p>
    <w:p w:rsidR="009D4E9C" w:rsidRPr="00FC6750" w:rsidRDefault="009D4E9C" w:rsidP="002A2EFB">
      <w:pPr>
        <w:spacing w:line="360" w:lineRule="auto"/>
        <w:jc w:val="both"/>
        <w:rPr>
          <w:b/>
          <w:bCs/>
          <w:color w:val="000000"/>
          <w:lang w:val="en-US"/>
        </w:rPr>
      </w:pPr>
      <w:r w:rsidRPr="00FC6750">
        <w:rPr>
          <w:color w:val="000000"/>
          <w:lang w:val="en-US"/>
        </w:rPr>
        <w:t>Incremental cost-effectiveness ratio</w:t>
      </w:r>
      <w:r>
        <w:rPr>
          <w:color w:val="000000"/>
          <w:lang w:val="en-US"/>
        </w:rPr>
        <w:t xml:space="preserve">, </w:t>
      </w:r>
      <w:r w:rsidRPr="00FC6750">
        <w:rPr>
          <w:color w:val="000000"/>
          <w:lang w:val="en-US"/>
        </w:rPr>
        <w:t xml:space="preserve">distribution of the ratio of two correlated </w:t>
      </w:r>
      <w:r>
        <w:rPr>
          <w:color w:val="000000"/>
          <w:lang w:val="en-US"/>
        </w:rPr>
        <w:t>normal r.v.</w:t>
      </w:r>
      <w:r w:rsidRPr="00FC6750">
        <w:rPr>
          <w:color w:val="000000"/>
          <w:lang w:val="en-US"/>
        </w:rPr>
        <w:t>, confidence intervals for the ratio.</w:t>
      </w:r>
    </w:p>
    <w:p w:rsidR="009D4E9C" w:rsidRDefault="009D4E9C" w:rsidP="002A2EFB">
      <w:pPr>
        <w:spacing w:line="360" w:lineRule="auto"/>
        <w:jc w:val="both"/>
        <w:rPr>
          <w:color w:val="000000"/>
          <w:sz w:val="22"/>
          <w:szCs w:val="22"/>
          <w:lang w:val="en-US"/>
        </w:rPr>
      </w:pPr>
    </w:p>
    <w:p w:rsidR="009D4E9C" w:rsidRDefault="009D4E9C" w:rsidP="002A2EFB">
      <w:pPr>
        <w:spacing w:line="360" w:lineRule="auto"/>
        <w:jc w:val="both"/>
        <w:rPr>
          <w:color w:val="000000"/>
          <w:sz w:val="22"/>
          <w:szCs w:val="22"/>
          <w:lang w:val="en-US"/>
        </w:rPr>
      </w:pPr>
    </w:p>
    <w:p w:rsidR="009D4E9C" w:rsidRPr="00B542A0" w:rsidRDefault="009D4E9C" w:rsidP="002A2EFB">
      <w:pPr>
        <w:pStyle w:val="Heading1"/>
        <w:spacing w:before="0" w:after="0" w:line="360" w:lineRule="auto"/>
        <w:rPr>
          <w:rFonts w:ascii="Times New Roman" w:hAnsi="Times New Roman" w:cs="Times New Roman"/>
          <w:sz w:val="28"/>
          <w:szCs w:val="28"/>
          <w:lang w:val="en-US"/>
        </w:rPr>
      </w:pPr>
      <w:r w:rsidRPr="00B542A0">
        <w:rPr>
          <w:rFonts w:ascii="Times New Roman" w:hAnsi="Times New Roman" w:cs="Times New Roman"/>
          <w:sz w:val="28"/>
          <w:szCs w:val="28"/>
          <w:lang w:val="en-US"/>
        </w:rPr>
        <w:t>INTRODUCTION</w:t>
      </w:r>
    </w:p>
    <w:p w:rsidR="009D4E9C" w:rsidRDefault="009D4E9C" w:rsidP="002A2EFB">
      <w:pPr>
        <w:spacing w:line="360" w:lineRule="auto"/>
        <w:jc w:val="both"/>
        <w:rPr>
          <w:color w:val="000000"/>
          <w:lang w:val="en-US"/>
        </w:rPr>
      </w:pPr>
      <w:r w:rsidRPr="00FC6750">
        <w:rPr>
          <w:color w:val="000000"/>
          <w:lang w:val="en-US"/>
        </w:rPr>
        <w:t>Analysis of the incremental cost-effectiveness ratio</w:t>
      </w:r>
      <w:r>
        <w:rPr>
          <w:color w:val="000000"/>
          <w:lang w:val="en-US"/>
        </w:rPr>
        <w:t xml:space="preserve"> (ICER)</w:t>
      </w:r>
      <w:r w:rsidRPr="00FC6750">
        <w:rPr>
          <w:color w:val="000000"/>
          <w:lang w:val="en-US"/>
        </w:rPr>
        <w:t xml:space="preserve"> is an important part of the </w:t>
      </w:r>
      <w:r>
        <w:rPr>
          <w:color w:val="000000"/>
          <w:lang w:val="en-US"/>
        </w:rPr>
        <w:t xml:space="preserve">social and health </w:t>
      </w:r>
      <w:r w:rsidRPr="00FC6750">
        <w:rPr>
          <w:color w:val="000000"/>
          <w:lang w:val="en-US"/>
        </w:rPr>
        <w:t xml:space="preserve">decision-making process </w:t>
      </w:r>
      <w:r>
        <w:rPr>
          <w:color w:val="000000"/>
          <w:lang w:val="en-US"/>
        </w:rPr>
        <w:t>because ICER is used to obtain simultaneous information on cost and effectiveness of a new intervention when compared to another one.</w:t>
      </w:r>
    </w:p>
    <w:p w:rsidR="009D4E9C" w:rsidRPr="00FC6750" w:rsidRDefault="009D4E9C" w:rsidP="002A2EFB">
      <w:pPr>
        <w:spacing w:line="360" w:lineRule="auto"/>
        <w:jc w:val="both"/>
        <w:rPr>
          <w:color w:val="000000"/>
          <w:lang w:val="en-US"/>
        </w:rPr>
      </w:pPr>
      <w:r w:rsidRPr="00FC6750">
        <w:rPr>
          <w:color w:val="000000"/>
          <w:lang w:val="en-US"/>
        </w:rPr>
        <w:t xml:space="preserve">ICER is used in </w:t>
      </w:r>
      <w:r>
        <w:rPr>
          <w:color w:val="000000"/>
          <w:lang w:val="en-US"/>
        </w:rPr>
        <w:t>several</w:t>
      </w:r>
      <w:r w:rsidRPr="00FC6750">
        <w:rPr>
          <w:color w:val="000000"/>
          <w:lang w:val="en-US"/>
        </w:rPr>
        <w:t xml:space="preserve"> </w:t>
      </w:r>
      <w:r>
        <w:rPr>
          <w:color w:val="000000"/>
          <w:lang w:val="en-US"/>
        </w:rPr>
        <w:t xml:space="preserve">social and health </w:t>
      </w:r>
      <w:r w:rsidRPr="00FC6750">
        <w:rPr>
          <w:color w:val="000000"/>
          <w:lang w:val="en-US"/>
        </w:rPr>
        <w:t xml:space="preserve">studies, </w:t>
      </w:r>
      <w:r>
        <w:rPr>
          <w:color w:val="000000"/>
          <w:lang w:val="en-US"/>
        </w:rPr>
        <w:t xml:space="preserve">including the comparisons </w:t>
      </w:r>
      <w:r w:rsidRPr="00FC6750">
        <w:rPr>
          <w:color w:val="000000"/>
          <w:lang w:val="en-US"/>
        </w:rPr>
        <w:t>of different interventions to avoid social exclusion, antisocial behavior problems (Muntz et al., 2004) or dyslexia.</w:t>
      </w:r>
    </w:p>
    <w:p w:rsidR="009D4E9C" w:rsidRDefault="009D4E9C" w:rsidP="002A2EFB">
      <w:pPr>
        <w:spacing w:line="360" w:lineRule="auto"/>
        <w:jc w:val="both"/>
        <w:rPr>
          <w:color w:val="000000"/>
          <w:sz w:val="22"/>
          <w:szCs w:val="22"/>
          <w:lang w:val="en-US"/>
        </w:rPr>
      </w:pPr>
      <w:r w:rsidRPr="00FC6750">
        <w:rPr>
          <w:color w:val="000000"/>
          <w:lang w:val="en-US"/>
        </w:rPr>
        <w:t xml:space="preserve">Despite </w:t>
      </w:r>
      <w:r>
        <w:rPr>
          <w:color w:val="000000"/>
          <w:lang w:val="en-US"/>
        </w:rPr>
        <w:t xml:space="preserve">the </w:t>
      </w:r>
      <w:r w:rsidRPr="00FC6750">
        <w:rPr>
          <w:color w:val="000000"/>
          <w:lang w:val="en-US"/>
        </w:rPr>
        <w:t xml:space="preserve">increasing use of the ICER, studies on its statistical methodology have still not been sufficiently developed. When comparing two competing interventions, confidence intervals (CI) for </w:t>
      </w:r>
      <w:r>
        <w:rPr>
          <w:color w:val="000000"/>
          <w:lang w:val="en-US"/>
        </w:rPr>
        <w:t>ICER</w:t>
      </w:r>
      <w:r w:rsidRPr="00FC6750">
        <w:rPr>
          <w:color w:val="000000"/>
          <w:lang w:val="en-US"/>
        </w:rPr>
        <w:t xml:space="preserve"> provide information on the level of uncertainty in the point estimates</w:t>
      </w:r>
      <w:r w:rsidRPr="00673150">
        <w:rPr>
          <w:color w:val="000000"/>
          <w:sz w:val="22"/>
          <w:szCs w:val="22"/>
          <w:lang w:val="en-US"/>
        </w:rPr>
        <w:t>. The</w:t>
      </w:r>
      <w:r>
        <w:rPr>
          <w:color w:val="000000"/>
          <w:sz w:val="22"/>
          <w:szCs w:val="22"/>
          <w:lang w:val="en-US"/>
        </w:rPr>
        <w:t xml:space="preserve"> non-parametric</w:t>
      </w:r>
      <w:r w:rsidRPr="00673150">
        <w:rPr>
          <w:color w:val="000000"/>
          <w:sz w:val="22"/>
          <w:szCs w:val="22"/>
          <w:lang w:val="en-US"/>
        </w:rPr>
        <w:t xml:space="preserve"> bootstrap method is often used to find the CI for ICER, even if it does not consider the shape of distribution of the ratio.</w:t>
      </w:r>
      <w:r>
        <w:rPr>
          <w:color w:val="000000"/>
          <w:lang w:val="en-US"/>
        </w:rPr>
        <w:t xml:space="preserve"> </w:t>
      </w:r>
      <w:r w:rsidRPr="00673150">
        <w:rPr>
          <w:color w:val="000000"/>
          <w:sz w:val="22"/>
          <w:szCs w:val="22"/>
          <w:lang w:val="en-US"/>
        </w:rPr>
        <w:t xml:space="preserve">Another widely used </w:t>
      </w:r>
      <w:r>
        <w:rPr>
          <w:color w:val="000000"/>
          <w:sz w:val="22"/>
          <w:szCs w:val="22"/>
          <w:lang w:val="en-US"/>
        </w:rPr>
        <w:t xml:space="preserve">parametric </w:t>
      </w:r>
      <w:r w:rsidRPr="00673150">
        <w:rPr>
          <w:color w:val="000000"/>
          <w:sz w:val="22"/>
          <w:szCs w:val="22"/>
          <w:lang w:val="en-US"/>
        </w:rPr>
        <w:t xml:space="preserve">method was proposed by Fieller (1932, 1954). </w:t>
      </w:r>
      <w:r>
        <w:rPr>
          <w:color w:val="000000"/>
          <w:sz w:val="22"/>
          <w:szCs w:val="22"/>
          <w:lang w:val="en-US"/>
        </w:rPr>
        <w:t>The limit of t</w:t>
      </w:r>
      <w:r w:rsidRPr="00673150">
        <w:rPr>
          <w:color w:val="000000"/>
          <w:sz w:val="22"/>
          <w:szCs w:val="22"/>
          <w:lang w:val="en-US"/>
        </w:rPr>
        <w:t xml:space="preserve">his method </w:t>
      </w:r>
      <w:r>
        <w:rPr>
          <w:color w:val="000000"/>
          <w:sz w:val="22"/>
          <w:szCs w:val="22"/>
          <w:lang w:val="en-US"/>
        </w:rPr>
        <w:t xml:space="preserve">is that </w:t>
      </w:r>
      <w:r w:rsidRPr="00673150">
        <w:rPr>
          <w:color w:val="000000"/>
          <w:sz w:val="22"/>
          <w:szCs w:val="22"/>
          <w:lang w:val="en-US"/>
        </w:rPr>
        <w:t>does not produce</w:t>
      </w:r>
      <w:r>
        <w:rPr>
          <w:color w:val="000000"/>
          <w:sz w:val="22"/>
          <w:szCs w:val="22"/>
          <w:lang w:val="en-US"/>
        </w:rPr>
        <w:t xml:space="preserve"> always </w:t>
      </w:r>
      <w:r w:rsidRPr="00673150">
        <w:rPr>
          <w:color w:val="000000"/>
          <w:sz w:val="22"/>
          <w:szCs w:val="22"/>
          <w:lang w:val="en-US"/>
        </w:rPr>
        <w:t xml:space="preserve"> bounded intervals for ICER </w:t>
      </w:r>
      <w:r>
        <w:rPr>
          <w:color w:val="000000"/>
          <w:sz w:val="22"/>
          <w:szCs w:val="22"/>
          <w:lang w:val="en-US"/>
        </w:rPr>
        <w:t xml:space="preserve"> because it is based on a second order equality and the solution may have none, one or two solutions according to the situation in which  the discriminant is negative, null or positive.</w:t>
      </w:r>
    </w:p>
    <w:p w:rsidR="009D4E9C" w:rsidRPr="00673150" w:rsidRDefault="009D4E9C" w:rsidP="002A2EFB">
      <w:pPr>
        <w:spacing w:line="360" w:lineRule="auto"/>
        <w:jc w:val="both"/>
        <w:rPr>
          <w:color w:val="000000"/>
          <w:sz w:val="22"/>
          <w:szCs w:val="22"/>
          <w:lang w:val="en-US"/>
        </w:rPr>
      </w:pPr>
      <w:r>
        <w:rPr>
          <w:color w:val="000000"/>
          <w:sz w:val="22"/>
          <w:szCs w:val="22"/>
          <w:lang w:val="en-US"/>
        </w:rPr>
        <w:t xml:space="preserve">In this paper, we presented a new parametric </w:t>
      </w:r>
      <w:r w:rsidRPr="00673150">
        <w:rPr>
          <w:color w:val="000000"/>
          <w:sz w:val="22"/>
          <w:szCs w:val="22"/>
          <w:lang w:val="en-US"/>
        </w:rPr>
        <w:t xml:space="preserve">technique for construction of </w:t>
      </w:r>
      <w:r>
        <w:rPr>
          <w:color w:val="000000"/>
          <w:sz w:val="22"/>
          <w:szCs w:val="22"/>
          <w:lang w:val="en-US"/>
        </w:rPr>
        <w:t xml:space="preserve">CIs. This method is based on the same </w:t>
      </w:r>
      <w:r>
        <w:rPr>
          <w:lang w:val="en-GB"/>
        </w:rPr>
        <w:t>parametric assumptions</w:t>
      </w:r>
      <w:r>
        <w:rPr>
          <w:color w:val="000000"/>
          <w:sz w:val="22"/>
          <w:szCs w:val="22"/>
          <w:lang w:val="en-US"/>
        </w:rPr>
        <w:t xml:space="preserve"> of the Fieller method for constructing CIs and it is based </w:t>
      </w:r>
      <w:r w:rsidRPr="00673150">
        <w:rPr>
          <w:color w:val="000000"/>
          <w:sz w:val="22"/>
          <w:szCs w:val="22"/>
          <w:lang w:val="en-US"/>
        </w:rPr>
        <w:t>on the exact distribution of the ICER</w:t>
      </w:r>
      <w:r>
        <w:rPr>
          <w:color w:val="000000"/>
          <w:sz w:val="22"/>
          <w:szCs w:val="22"/>
          <w:lang w:val="en-US"/>
        </w:rPr>
        <w:t xml:space="preserve">, i.e. </w:t>
      </w:r>
      <w:r w:rsidRPr="00673150">
        <w:rPr>
          <w:color w:val="000000"/>
          <w:sz w:val="22"/>
          <w:szCs w:val="22"/>
          <w:lang w:val="en-US"/>
        </w:rPr>
        <w:t xml:space="preserve">the distribution of the ratio of two correlated normal </w:t>
      </w:r>
      <w:r>
        <w:rPr>
          <w:color w:val="000000"/>
          <w:sz w:val="22"/>
          <w:szCs w:val="22"/>
          <w:lang w:val="en-US"/>
        </w:rPr>
        <w:t>random variables (r.v.).</w:t>
      </w:r>
    </w:p>
    <w:p w:rsidR="009D4E9C" w:rsidRPr="00673150" w:rsidRDefault="009D4E9C" w:rsidP="002A2EFB">
      <w:pPr>
        <w:spacing w:line="360" w:lineRule="auto"/>
        <w:rPr>
          <w:b/>
          <w:bCs/>
          <w:color w:val="000000"/>
          <w:sz w:val="22"/>
          <w:szCs w:val="22"/>
          <w:lang w:val="en-US"/>
        </w:rPr>
      </w:pPr>
    </w:p>
    <w:p w:rsidR="009D4E9C" w:rsidRPr="00B542A0" w:rsidRDefault="009D4E9C" w:rsidP="002A2EFB">
      <w:pPr>
        <w:pStyle w:val="Heading1"/>
        <w:spacing w:before="0" w:after="0" w:line="360" w:lineRule="auto"/>
        <w:rPr>
          <w:rFonts w:ascii="Times New Roman" w:hAnsi="Times New Roman" w:cs="Times New Roman"/>
          <w:sz w:val="28"/>
          <w:szCs w:val="28"/>
          <w:lang w:val="en-US"/>
        </w:rPr>
      </w:pPr>
      <w:r w:rsidRPr="00B542A0">
        <w:rPr>
          <w:rFonts w:ascii="Times New Roman" w:hAnsi="Times New Roman" w:cs="Times New Roman"/>
          <w:sz w:val="28"/>
          <w:szCs w:val="28"/>
          <w:lang w:val="en-US"/>
        </w:rPr>
        <w:t>INCREMENTAL COST-EFFECTIVENESS RATIO</w:t>
      </w:r>
    </w:p>
    <w:p w:rsidR="009D4E9C" w:rsidRPr="00FC6750" w:rsidRDefault="009D4E9C" w:rsidP="002A2EFB">
      <w:pPr>
        <w:spacing w:line="360" w:lineRule="auto"/>
        <w:jc w:val="both"/>
        <w:rPr>
          <w:lang w:val="en-GB" w:eastAsia="ar-SA"/>
        </w:rPr>
      </w:pPr>
      <w:r>
        <w:rPr>
          <w:lang w:val="en-GB" w:eastAsia="ar-SA"/>
        </w:rPr>
        <w:t>The ICER</w:t>
      </w:r>
      <w:r w:rsidRPr="00FC6750">
        <w:rPr>
          <w:lang w:val="en-GB" w:eastAsia="ar-SA"/>
        </w:rPr>
        <w:t xml:space="preserve"> is given by</w:t>
      </w:r>
    </w:p>
    <w:p w:rsidR="009D4E9C" w:rsidRPr="00673150" w:rsidRDefault="009D4E9C" w:rsidP="002A2EFB">
      <w:pPr>
        <w:spacing w:line="360" w:lineRule="auto"/>
        <w:jc w:val="center"/>
        <w:rPr>
          <w:position w:val="-30"/>
          <w:sz w:val="22"/>
          <w:szCs w:val="22"/>
          <w:lang w:val="en-GB" w:eastAsia="ar-SA"/>
        </w:rPr>
      </w:pPr>
      <w:r>
        <w:rPr>
          <w:sz w:val="22"/>
          <w:szCs w:val="22"/>
          <w:lang w:val="en-GB" w:eastAsia="ar-SA"/>
        </w:rPr>
        <w:t xml:space="preserve">                                         </w:t>
      </w:r>
      <w:r w:rsidRPr="00673150">
        <w:rPr>
          <w:position w:val="-30"/>
          <w:sz w:val="22"/>
          <w:szCs w:val="22"/>
          <w:lang w:val="en-GB" w:eastAsia="ar-SA"/>
        </w:rPr>
        <w:object w:dxaOrig="2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4.5pt" o:ole="">
            <v:imagedata r:id="rId9" o:title=""/>
          </v:shape>
          <o:OLEObject Type="Embed" ProgID="Equation.DSMT4" ShapeID="_x0000_i1025" DrawAspect="Content" ObjectID="_1442414751" r:id="rId10"/>
        </w:object>
      </w:r>
      <w:r>
        <w:rPr>
          <w:sz w:val="22"/>
          <w:szCs w:val="22"/>
          <w:lang w:val="en-GB" w:eastAsia="ar-SA"/>
        </w:rPr>
        <w:t xml:space="preserve">                                                         (1)</w:t>
      </w:r>
    </w:p>
    <w:p w:rsidR="009D4E9C" w:rsidRPr="00FC6750" w:rsidRDefault="009D4E9C" w:rsidP="002A2EFB">
      <w:pPr>
        <w:spacing w:line="360" w:lineRule="auto"/>
        <w:jc w:val="both"/>
        <w:rPr>
          <w:lang w:val="en-GB" w:eastAsia="ar-SA"/>
        </w:rPr>
      </w:pPr>
      <w:r w:rsidRPr="00FC6750">
        <w:rPr>
          <w:lang w:val="en-GB" w:eastAsia="ar-SA"/>
        </w:rPr>
        <w:t>where the numerator is the difference between the cost of the new treatment and the standard one and the denominator is constituted by the difference between the  effectiveness of the treatments to be compared.</w:t>
      </w:r>
    </w:p>
    <w:p w:rsidR="009D4E9C" w:rsidRPr="00FC6750" w:rsidRDefault="009D4E9C" w:rsidP="002A2EFB">
      <w:pPr>
        <w:spacing w:line="360" w:lineRule="auto"/>
        <w:jc w:val="both"/>
        <w:rPr>
          <w:lang w:val="en-GB"/>
        </w:rPr>
      </w:pPr>
      <w:r w:rsidRPr="00FC6750">
        <w:rPr>
          <w:lang w:val="en-GB"/>
        </w:rPr>
        <w:t>Often the denominator</w:t>
      </w:r>
      <w:r>
        <w:rPr>
          <w:lang w:val="en-GB"/>
        </w:rPr>
        <w:t xml:space="preserve"> used to evaluate the effectiveness of a new health intervention as compared to another</w:t>
      </w:r>
      <w:r w:rsidRPr="00FC6750">
        <w:rPr>
          <w:lang w:val="en-GB"/>
        </w:rPr>
        <w:t xml:space="preserve"> is </w:t>
      </w:r>
      <w:r>
        <w:rPr>
          <w:lang w:val="en-GB"/>
        </w:rPr>
        <w:t>expressed as follow:</w:t>
      </w:r>
    </w:p>
    <w:p w:rsidR="009D4E9C" w:rsidRPr="00673150" w:rsidRDefault="009D4E9C" w:rsidP="002A2EFB">
      <w:pPr>
        <w:spacing w:line="360" w:lineRule="auto"/>
        <w:jc w:val="center"/>
        <w:rPr>
          <w:sz w:val="22"/>
          <w:szCs w:val="22"/>
          <w:lang w:val="en-GB"/>
        </w:rPr>
      </w:pPr>
      <w:r>
        <w:rPr>
          <w:sz w:val="22"/>
          <w:szCs w:val="22"/>
          <w:lang w:val="en-GB" w:eastAsia="ar-SA"/>
        </w:rPr>
        <w:t xml:space="preserve">                                   </w:t>
      </w:r>
      <w:r w:rsidRPr="00673150">
        <w:rPr>
          <w:position w:val="-12"/>
          <w:sz w:val="22"/>
          <w:szCs w:val="22"/>
          <w:lang w:val="en-GB" w:eastAsia="ar-SA"/>
        </w:rPr>
        <w:object w:dxaOrig="3320" w:dyaOrig="360">
          <v:shape id="_x0000_i1026" type="#_x0000_t75" style="width:161.25pt;height:18pt" o:ole="">
            <v:imagedata r:id="rId11" o:title=""/>
          </v:shape>
          <o:OLEObject Type="Embed" ProgID="Equation.DSMT4" ShapeID="_x0000_i1026" DrawAspect="Content" ObjectID="_1442414752" r:id="rId12"/>
        </w:object>
      </w:r>
      <w:r>
        <w:rPr>
          <w:sz w:val="22"/>
          <w:szCs w:val="22"/>
          <w:lang w:val="en-GB" w:eastAsia="ar-SA"/>
        </w:rPr>
        <w:t xml:space="preserve">                                                   (2)</w:t>
      </w:r>
    </w:p>
    <w:p w:rsidR="009D4E9C" w:rsidRPr="00FC6750" w:rsidRDefault="009D4E9C" w:rsidP="002A2EFB">
      <w:pPr>
        <w:spacing w:line="360" w:lineRule="auto"/>
        <w:jc w:val="both"/>
        <w:rPr>
          <w:lang w:val="en-US"/>
        </w:rPr>
      </w:pPr>
      <w:r w:rsidRPr="00FC6750">
        <w:rPr>
          <w:lang w:val="en-GB"/>
        </w:rPr>
        <w:t>w</w:t>
      </w:r>
      <w:r w:rsidRPr="00FC6750">
        <w:rPr>
          <w:lang w:val="en-US"/>
        </w:rPr>
        <w:t>here QALY is the number of years of life that would be added by the new intervention.</w:t>
      </w:r>
    </w:p>
    <w:p w:rsidR="009D4E9C" w:rsidRPr="00FC6750" w:rsidRDefault="009D4E9C" w:rsidP="002A2EFB">
      <w:pPr>
        <w:spacing w:line="360" w:lineRule="auto"/>
        <w:jc w:val="both"/>
        <w:rPr>
          <w:lang w:val="en-US"/>
        </w:rPr>
      </w:pPr>
      <w:r w:rsidRPr="00FC6750">
        <w:rPr>
          <w:lang w:val="en-US"/>
        </w:rPr>
        <w:t xml:space="preserve">In this situation, </w:t>
      </w:r>
      <w:r w:rsidRPr="00FC6750">
        <w:rPr>
          <w:i/>
          <w:lang w:val="en-US"/>
        </w:rPr>
        <w:t>R</w:t>
      </w:r>
      <w:r w:rsidRPr="00FC6750">
        <w:rPr>
          <w:lang w:val="en-US"/>
        </w:rPr>
        <w:t xml:space="preserve"> represents the cost to be paid to increase the life by one year if the new procedure is used instead of the standard one.</w:t>
      </w:r>
    </w:p>
    <w:p w:rsidR="009D4E9C" w:rsidRPr="00FC6750" w:rsidRDefault="009D4E9C" w:rsidP="002A2EFB">
      <w:pPr>
        <w:spacing w:line="360" w:lineRule="auto"/>
        <w:jc w:val="both"/>
        <w:rPr>
          <w:lang w:val="en-GB" w:eastAsia="ar-SA"/>
        </w:rPr>
      </w:pPr>
      <w:r w:rsidRPr="00FC6750">
        <w:rPr>
          <w:lang w:val="en-GB" w:eastAsia="ar-SA"/>
        </w:rPr>
        <w:t>Let us consider an experiment in which in the control group we observe</w:t>
      </w:r>
      <w:r>
        <w:rPr>
          <w:lang w:val="en-GB" w:eastAsia="ar-SA"/>
        </w:rPr>
        <w:t xml:space="preserve"> </w:t>
      </w:r>
      <w:r w:rsidRPr="00FC6750">
        <w:rPr>
          <w:position w:val="-12"/>
          <w:lang w:val="en-GB" w:eastAsia="ar-SA"/>
        </w:rPr>
        <w:object w:dxaOrig="240" w:dyaOrig="360">
          <v:shape id="_x0000_i1027" type="#_x0000_t75" style="width:12pt;height:18pt" o:ole="">
            <v:imagedata r:id="rId13" o:title=""/>
          </v:shape>
          <o:OLEObject Type="Embed" ProgID="Equation.DSMT4" ShapeID="_x0000_i1027" DrawAspect="Content" ObjectID="_1442414753" r:id="rId14"/>
        </w:object>
      </w:r>
      <w:r w:rsidRPr="00FC6750">
        <w:rPr>
          <w:lang w:val="en-GB" w:eastAsia="ar-SA"/>
        </w:rPr>
        <w:t xml:space="preserve"> participants and in the group where we test the new intervention we consider </w:t>
      </w:r>
      <w:r w:rsidRPr="00FC6750">
        <w:rPr>
          <w:position w:val="-12"/>
          <w:lang w:val="en-GB" w:eastAsia="ar-SA"/>
        </w:rPr>
        <w:object w:dxaOrig="279" w:dyaOrig="360">
          <v:shape id="_x0000_i1028" type="#_x0000_t75" style="width:13.5pt;height:18pt" o:ole="">
            <v:imagedata r:id="rId15" o:title=""/>
          </v:shape>
          <o:OLEObject Type="Embed" ProgID="Equation.DSMT4" ShapeID="_x0000_i1028" DrawAspect="Content" ObjectID="_1442414754" r:id="rId16"/>
        </w:object>
      </w:r>
      <w:r>
        <w:rPr>
          <w:lang w:val="en-GB" w:eastAsia="ar-SA"/>
        </w:rPr>
        <w:t xml:space="preserve"> </w:t>
      </w:r>
      <w:r w:rsidRPr="00FC6750">
        <w:rPr>
          <w:lang w:val="en-GB" w:eastAsia="ar-SA"/>
        </w:rPr>
        <w:t>participants.</w:t>
      </w:r>
    </w:p>
    <w:p w:rsidR="009D4E9C" w:rsidRPr="00FC6750" w:rsidRDefault="009D4E9C" w:rsidP="002A2EFB">
      <w:pPr>
        <w:spacing w:line="360" w:lineRule="auto"/>
        <w:jc w:val="both"/>
        <w:rPr>
          <w:lang w:val="en-GB"/>
        </w:rPr>
      </w:pPr>
      <w:r w:rsidRPr="00FC6750">
        <w:rPr>
          <w:lang w:val="en-GB" w:eastAsia="ar-SA"/>
        </w:rPr>
        <w:t xml:space="preserve">The </w:t>
      </w:r>
      <w:r>
        <w:rPr>
          <w:lang w:val="en-GB" w:eastAsia="ar-SA"/>
        </w:rPr>
        <w:t>ICER</w:t>
      </w:r>
      <w:r w:rsidRPr="00FC6750">
        <w:rPr>
          <w:lang w:val="en-GB" w:eastAsia="ar-SA"/>
        </w:rPr>
        <w:t xml:space="preserve"> may be estimated </w:t>
      </w:r>
      <w:r>
        <w:rPr>
          <w:lang w:val="en-GB" w:eastAsia="ar-SA"/>
        </w:rPr>
        <w:t xml:space="preserve"> by the </w:t>
      </w:r>
      <w:r w:rsidRPr="00FC6750">
        <w:rPr>
          <w:lang w:val="en-GB" w:eastAsia="ar-SA"/>
        </w:rPr>
        <w:t>ratio</w:t>
      </w:r>
    </w:p>
    <w:p w:rsidR="009D4E9C" w:rsidRPr="00673150" w:rsidRDefault="009D4E9C" w:rsidP="002A2EFB">
      <w:pPr>
        <w:spacing w:line="360" w:lineRule="auto"/>
        <w:jc w:val="center"/>
        <w:rPr>
          <w:sz w:val="22"/>
          <w:szCs w:val="22"/>
          <w:lang w:val="en-GB" w:eastAsia="ar-SA"/>
        </w:rPr>
      </w:pPr>
      <w:r>
        <w:rPr>
          <w:sz w:val="22"/>
          <w:szCs w:val="22"/>
          <w:lang w:val="en-GB" w:eastAsia="ar-SA"/>
        </w:rPr>
        <w:t xml:space="preserve">                                               </w:t>
      </w:r>
      <w:r w:rsidRPr="00673150">
        <w:rPr>
          <w:position w:val="-32"/>
          <w:sz w:val="22"/>
          <w:szCs w:val="22"/>
          <w:lang w:val="en-GB" w:eastAsia="ar-SA"/>
        </w:rPr>
        <w:object w:dxaOrig="2160" w:dyaOrig="780">
          <v:shape id="_x0000_i1029" type="#_x0000_t75" style="width:108pt;height:39pt" o:ole="">
            <v:imagedata r:id="rId17" o:title=""/>
          </v:shape>
          <o:OLEObject Type="Embed" ProgID="Equation.DSMT4" ShapeID="_x0000_i1029" DrawAspect="Content" ObjectID="_1442414755" r:id="rId18"/>
        </w:object>
      </w:r>
      <w:r>
        <w:rPr>
          <w:sz w:val="22"/>
          <w:szCs w:val="22"/>
          <w:lang w:val="en-GB" w:eastAsia="ar-SA"/>
        </w:rPr>
        <w:t xml:space="preserve">                                                        (3)</w:t>
      </w:r>
    </w:p>
    <w:p w:rsidR="009D4E9C" w:rsidRDefault="009D4E9C" w:rsidP="002A2EFB">
      <w:pPr>
        <w:spacing w:line="360" w:lineRule="auto"/>
        <w:jc w:val="both"/>
        <w:rPr>
          <w:lang w:val="en-GB" w:eastAsia="ar-SA"/>
        </w:rPr>
      </w:pPr>
      <w:r w:rsidRPr="00FC6750">
        <w:rPr>
          <w:lang w:val="en-GB" w:eastAsia="ar-SA"/>
        </w:rPr>
        <w:t>We may have the following alternatives:</w:t>
      </w:r>
    </w:p>
    <w:p w:rsidR="009D4E9C" w:rsidRPr="00FC6750" w:rsidRDefault="009D4E9C" w:rsidP="002A2EFB">
      <w:pPr>
        <w:spacing w:line="360" w:lineRule="auto"/>
        <w:jc w:val="both"/>
        <w:rPr>
          <w:lang w:val="en-GB" w:eastAsia="ar-SA"/>
        </w:rPr>
      </w:pPr>
    </w:p>
    <w:p w:rsidR="009D4E9C" w:rsidRPr="00FC6750" w:rsidRDefault="009D4E9C" w:rsidP="002A2EFB">
      <w:pPr>
        <w:spacing w:line="360" w:lineRule="auto"/>
        <w:jc w:val="both"/>
        <w:rPr>
          <w:i/>
          <w:iCs/>
          <w:position w:val="-12"/>
          <w:lang w:val="en-GB" w:eastAsia="ar-SA"/>
        </w:rPr>
      </w:pPr>
      <w:r w:rsidRPr="00FC6750">
        <w:rPr>
          <w:lang w:val="en-GB" w:eastAsia="ar-SA"/>
        </w:rPr>
        <w:t xml:space="preserve">- </w:t>
      </w:r>
      <w:r w:rsidRPr="00FC6750">
        <w:rPr>
          <w:position w:val="-12"/>
          <w:lang w:val="en-GB" w:eastAsia="ar-SA"/>
        </w:rPr>
        <w:object w:dxaOrig="1480" w:dyaOrig="380">
          <v:shape id="_x0000_i1030" type="#_x0000_t75" style="width:74.25pt;height:18.75pt" o:ole="">
            <v:imagedata r:id="rId19" o:title=""/>
          </v:shape>
          <o:OLEObject Type="Embed" ProgID="Equation.DSMT4" ShapeID="_x0000_i1030" DrawAspect="Content" ObjectID="_1442414756" r:id="rId20"/>
        </w:object>
      </w:r>
      <w:r w:rsidRPr="00FC6750">
        <w:rPr>
          <w:position w:val="-12"/>
          <w:lang w:val="en-GB" w:eastAsia="ar-SA"/>
        </w:rPr>
        <w:object w:dxaOrig="2840" w:dyaOrig="400">
          <v:shape id="_x0000_i1031" type="#_x0000_t75" style="width:138pt;height:20.25pt" o:ole="">
            <v:imagedata r:id="rId21" o:title=""/>
          </v:shape>
          <o:OLEObject Type="Embed" ProgID="Equation.DSMT4" ShapeID="_x0000_i1031" DrawAspect="Content" ObjectID="_1442414757" r:id="rId22"/>
        </w:object>
      </w:r>
    </w:p>
    <w:p w:rsidR="009D4E9C" w:rsidRDefault="009D4E9C" w:rsidP="002A2EFB">
      <w:pPr>
        <w:spacing w:line="360" w:lineRule="auto"/>
        <w:jc w:val="both"/>
        <w:rPr>
          <w:position w:val="-12"/>
          <w:lang w:val="en-GB" w:eastAsia="ar-SA"/>
        </w:rPr>
      </w:pPr>
      <w:r w:rsidRPr="00FC6750">
        <w:rPr>
          <w:position w:val="-12"/>
          <w:lang w:val="en-GB" w:eastAsia="ar-SA"/>
        </w:rPr>
        <w:t xml:space="preserve">The new intervention is less expensive and more effective, so it is preferable to the control situation. </w:t>
      </w:r>
      <w:r w:rsidRPr="00FC6750">
        <w:rPr>
          <w:i/>
          <w:iCs/>
          <w:position w:val="-12"/>
          <w:lang w:val="en-GB" w:eastAsia="ar-SA"/>
        </w:rPr>
        <w:t>R</w:t>
      </w:r>
      <w:r w:rsidRPr="00FC6750">
        <w:rPr>
          <w:position w:val="-12"/>
          <w:lang w:val="en-GB" w:eastAsia="ar-SA"/>
        </w:rPr>
        <w:t xml:space="preserve"> represents the cost per additional outcome achieved by the treatment.</w:t>
      </w:r>
    </w:p>
    <w:p w:rsidR="009D4E9C" w:rsidRPr="00FC6750" w:rsidRDefault="009D4E9C" w:rsidP="002A2EFB">
      <w:pPr>
        <w:spacing w:line="360" w:lineRule="auto"/>
        <w:jc w:val="both"/>
        <w:rPr>
          <w:position w:val="-12"/>
          <w:lang w:val="en-GB" w:eastAsia="ar-SA"/>
        </w:rPr>
      </w:pPr>
    </w:p>
    <w:p w:rsidR="009D4E9C" w:rsidRPr="00FC6750" w:rsidRDefault="009D4E9C" w:rsidP="002A2EFB">
      <w:pPr>
        <w:spacing w:line="360" w:lineRule="auto"/>
        <w:jc w:val="both"/>
        <w:rPr>
          <w:position w:val="-12"/>
          <w:lang w:val="en-GB" w:eastAsia="ar-SA"/>
        </w:rPr>
      </w:pPr>
      <w:r w:rsidRPr="00FC6750">
        <w:rPr>
          <w:lang w:val="en-GB" w:eastAsia="ar-SA"/>
        </w:rPr>
        <w:t xml:space="preserve">- </w:t>
      </w:r>
      <w:r w:rsidRPr="00FC6750">
        <w:rPr>
          <w:position w:val="-12"/>
          <w:lang w:val="en-GB" w:eastAsia="ar-SA"/>
        </w:rPr>
        <w:object w:dxaOrig="1480" w:dyaOrig="380">
          <v:shape id="_x0000_i1032" type="#_x0000_t75" style="width:1in;height:18.75pt" o:ole="">
            <v:imagedata r:id="rId23" o:title=""/>
          </v:shape>
          <o:OLEObject Type="Embed" ProgID="Equation.DSMT4" ShapeID="_x0000_i1032" DrawAspect="Content" ObjectID="_1442414758" r:id="rId24"/>
        </w:object>
      </w:r>
      <w:r w:rsidRPr="00FC6750">
        <w:rPr>
          <w:position w:val="-12"/>
          <w:lang w:val="en-GB" w:eastAsia="ar-SA"/>
        </w:rPr>
        <w:object w:dxaOrig="2840" w:dyaOrig="400">
          <v:shape id="_x0000_i1033" type="#_x0000_t75" style="width:138pt;height:20.25pt" o:ole="">
            <v:imagedata r:id="rId25" o:title=""/>
          </v:shape>
          <o:OLEObject Type="Embed" ProgID="Equation.DSMT4" ShapeID="_x0000_i1033" DrawAspect="Content" ObjectID="_1442414759" r:id="rId26"/>
        </w:object>
      </w:r>
    </w:p>
    <w:p w:rsidR="009D4E9C" w:rsidRDefault="009D4E9C" w:rsidP="002A2EFB">
      <w:pPr>
        <w:spacing w:line="360" w:lineRule="auto"/>
        <w:jc w:val="both"/>
        <w:rPr>
          <w:position w:val="-12"/>
          <w:lang w:val="en-GB" w:eastAsia="ar-SA"/>
        </w:rPr>
      </w:pPr>
      <w:r w:rsidRPr="00FC6750">
        <w:rPr>
          <w:position w:val="-12"/>
          <w:lang w:val="en-GB" w:eastAsia="ar-SA"/>
        </w:rPr>
        <w:t xml:space="preserve">The intervention proposed is more expensive and less effective than the traditional one, so it must be rejected. The absolute value of </w:t>
      </w:r>
      <w:r w:rsidRPr="00FC6750">
        <w:rPr>
          <w:i/>
          <w:position w:val="-12"/>
          <w:lang w:val="en-GB" w:eastAsia="ar-SA"/>
        </w:rPr>
        <w:t xml:space="preserve">R </w:t>
      </w:r>
      <w:r w:rsidRPr="005262C2">
        <w:rPr>
          <w:position w:val="-12"/>
          <w:lang w:val="en-GB" w:eastAsia="ar-SA"/>
        </w:rPr>
        <w:t>r</w:t>
      </w:r>
      <w:r w:rsidRPr="00FC6750">
        <w:rPr>
          <w:position w:val="-12"/>
          <w:lang w:val="en-GB" w:eastAsia="ar-SA"/>
        </w:rPr>
        <w:t>eflects the</w:t>
      </w:r>
      <w:r w:rsidRPr="00FC6750">
        <w:rPr>
          <w:i/>
          <w:iCs/>
          <w:position w:val="-12"/>
          <w:lang w:val="en-GB" w:eastAsia="ar-SA"/>
        </w:rPr>
        <w:t xml:space="preserve"> </w:t>
      </w:r>
      <w:r w:rsidRPr="00FC6750">
        <w:rPr>
          <w:position w:val="-12"/>
          <w:lang w:val="en-GB" w:eastAsia="ar-SA"/>
        </w:rPr>
        <w:t xml:space="preserve">cost per additional outcome achieved by the control approach. </w:t>
      </w:r>
    </w:p>
    <w:p w:rsidR="009D4E9C" w:rsidRPr="00FC6750" w:rsidRDefault="009D4E9C" w:rsidP="002A2EFB">
      <w:pPr>
        <w:spacing w:line="360" w:lineRule="auto"/>
        <w:jc w:val="both"/>
        <w:rPr>
          <w:position w:val="-12"/>
          <w:lang w:val="en-GB" w:eastAsia="ar-SA"/>
        </w:rPr>
      </w:pPr>
    </w:p>
    <w:p w:rsidR="009D4E9C" w:rsidRPr="00FC6750" w:rsidRDefault="009D4E9C" w:rsidP="002A2EFB">
      <w:pPr>
        <w:spacing w:line="360" w:lineRule="auto"/>
        <w:jc w:val="both"/>
        <w:rPr>
          <w:position w:val="-12"/>
          <w:lang w:val="en-GB" w:eastAsia="ar-SA"/>
        </w:rPr>
      </w:pPr>
      <w:r w:rsidRPr="00FC6750">
        <w:rPr>
          <w:lang w:val="en-GB" w:eastAsia="ar-SA"/>
        </w:rPr>
        <w:t xml:space="preserve">- </w:t>
      </w:r>
      <w:r w:rsidRPr="00FC6750">
        <w:rPr>
          <w:position w:val="-12"/>
          <w:lang w:val="en-GB" w:eastAsia="ar-SA"/>
        </w:rPr>
        <w:object w:dxaOrig="1480" w:dyaOrig="380">
          <v:shape id="_x0000_i1034" type="#_x0000_t75" style="width:1in;height:18.75pt" o:ole="">
            <v:imagedata r:id="rId27" o:title=""/>
          </v:shape>
          <o:OLEObject Type="Embed" ProgID="Equation.DSMT4" ShapeID="_x0000_i1034" DrawAspect="Content" ObjectID="_1442414760" r:id="rId28"/>
        </w:object>
      </w:r>
      <w:r w:rsidRPr="00FC6750">
        <w:rPr>
          <w:position w:val="-12"/>
          <w:lang w:val="en-GB" w:eastAsia="ar-SA"/>
        </w:rPr>
        <w:t xml:space="preserve">  </w:t>
      </w:r>
      <w:r w:rsidRPr="00FC6750">
        <w:rPr>
          <w:position w:val="-12"/>
          <w:lang w:val="en-GB" w:eastAsia="ar-SA"/>
        </w:rPr>
        <w:object w:dxaOrig="2840" w:dyaOrig="400">
          <v:shape id="_x0000_i1035" type="#_x0000_t75" style="width:138pt;height:20.25pt" o:ole="">
            <v:imagedata r:id="rId29" o:title=""/>
          </v:shape>
          <o:OLEObject Type="Embed" ProgID="Equation.DSMT4" ShapeID="_x0000_i1035" DrawAspect="Content" ObjectID="_1442414761" r:id="rId30"/>
        </w:object>
      </w:r>
      <w:r w:rsidRPr="00FC6750">
        <w:rPr>
          <w:position w:val="-12"/>
          <w:lang w:val="en-GB" w:eastAsia="ar-SA"/>
        </w:rPr>
        <w:t xml:space="preserve"> </w:t>
      </w:r>
    </w:p>
    <w:p w:rsidR="009D4E9C" w:rsidRDefault="009D4E9C" w:rsidP="002A2EFB">
      <w:pPr>
        <w:spacing w:line="360" w:lineRule="auto"/>
        <w:jc w:val="both"/>
        <w:rPr>
          <w:position w:val="-12"/>
          <w:lang w:val="en-GB" w:eastAsia="ar-SA"/>
        </w:rPr>
      </w:pPr>
      <w:r w:rsidRPr="00FC6750">
        <w:rPr>
          <w:position w:val="-12"/>
          <w:lang w:val="en-GB" w:eastAsia="ar-SA"/>
        </w:rPr>
        <w:t>The experimental intervention is more expensive and more effective, so it is worth to evaluate the ICER.</w:t>
      </w:r>
    </w:p>
    <w:p w:rsidR="009D4E9C" w:rsidRPr="00FC6750" w:rsidRDefault="009D4E9C" w:rsidP="002A2EFB">
      <w:pPr>
        <w:spacing w:line="360" w:lineRule="auto"/>
        <w:jc w:val="both"/>
        <w:rPr>
          <w:position w:val="-12"/>
          <w:lang w:val="en-GB" w:eastAsia="ar-SA"/>
        </w:rPr>
      </w:pPr>
    </w:p>
    <w:p w:rsidR="009D4E9C" w:rsidRPr="00FC6750" w:rsidRDefault="009D4E9C" w:rsidP="002A2EFB">
      <w:pPr>
        <w:spacing w:line="360" w:lineRule="auto"/>
        <w:jc w:val="both"/>
        <w:rPr>
          <w:lang w:val="en-GB" w:eastAsia="ar-SA"/>
        </w:rPr>
      </w:pPr>
      <w:r w:rsidRPr="00FC6750">
        <w:rPr>
          <w:lang w:val="en-GB" w:eastAsia="ar-SA"/>
        </w:rPr>
        <w:t xml:space="preserve">- </w:t>
      </w:r>
      <w:r w:rsidRPr="00FC6750">
        <w:rPr>
          <w:position w:val="-12"/>
          <w:lang w:val="en-GB" w:eastAsia="ar-SA"/>
        </w:rPr>
        <w:object w:dxaOrig="1480" w:dyaOrig="380">
          <v:shape id="_x0000_i1036" type="#_x0000_t75" style="width:74.25pt;height:18.75pt" o:ole="">
            <v:imagedata r:id="rId31" o:title=""/>
          </v:shape>
          <o:OLEObject Type="Embed" ProgID="Equation.DSMT4" ShapeID="_x0000_i1036" DrawAspect="Content" ObjectID="_1442414762" r:id="rId32"/>
        </w:object>
      </w:r>
      <w:r w:rsidRPr="00FC6750">
        <w:rPr>
          <w:position w:val="-12"/>
          <w:lang w:val="en-GB" w:eastAsia="ar-SA"/>
        </w:rPr>
        <w:object w:dxaOrig="2840" w:dyaOrig="400">
          <v:shape id="_x0000_i1037" type="#_x0000_t75" style="width:138pt;height:20.25pt" o:ole="">
            <v:imagedata r:id="rId33" o:title=""/>
          </v:shape>
          <o:OLEObject Type="Embed" ProgID="Equation.DSMT4" ShapeID="_x0000_i1037" DrawAspect="Content" ObjectID="_1442414763" r:id="rId34"/>
        </w:object>
      </w:r>
    </w:p>
    <w:p w:rsidR="009D4E9C" w:rsidRDefault="009D4E9C" w:rsidP="002A2EFB">
      <w:pPr>
        <w:spacing w:line="360" w:lineRule="auto"/>
        <w:rPr>
          <w:lang w:val="en-GB" w:eastAsia="ar-SA"/>
        </w:rPr>
      </w:pPr>
      <w:r w:rsidRPr="00FC6750">
        <w:rPr>
          <w:lang w:val="en-GB" w:eastAsia="ar-SA"/>
        </w:rPr>
        <w:t>The ICER must be examined because the new intervention is less expensive but also less effective than the traditional one.</w:t>
      </w:r>
    </w:p>
    <w:p w:rsidR="009D4E9C" w:rsidRPr="00FC6750" w:rsidRDefault="009D4E9C" w:rsidP="002A2EFB">
      <w:pPr>
        <w:spacing w:line="360" w:lineRule="auto"/>
        <w:rPr>
          <w:lang w:val="en-GB" w:eastAsia="ar-SA"/>
        </w:rPr>
      </w:pPr>
    </w:p>
    <w:p w:rsidR="009D4E9C" w:rsidRPr="00FC6750" w:rsidRDefault="009D4E9C" w:rsidP="002A2EFB">
      <w:pPr>
        <w:spacing w:line="360" w:lineRule="auto"/>
        <w:rPr>
          <w:lang w:val="en-GB" w:eastAsia="ar-SA"/>
        </w:rPr>
      </w:pPr>
      <w:r w:rsidRPr="00FC6750">
        <w:rPr>
          <w:lang w:val="en-GB" w:eastAsia="ar-SA"/>
        </w:rPr>
        <w:t>The expected value and the variance of the numerator of the estimator are</w:t>
      </w:r>
    </w:p>
    <w:p w:rsidR="009D4E9C" w:rsidRPr="00205181" w:rsidRDefault="009D4E9C" w:rsidP="002A2EFB">
      <w:pPr>
        <w:spacing w:line="360" w:lineRule="auto"/>
        <w:jc w:val="center"/>
        <w:rPr>
          <w:lang w:val="en-US" w:eastAsia="ar-SA"/>
        </w:rPr>
      </w:pPr>
      <w:r w:rsidRPr="00205181">
        <w:rPr>
          <w:lang w:val="en-US" w:eastAsia="ar-SA"/>
        </w:rPr>
        <w:t xml:space="preserve">          </w:t>
      </w:r>
      <w:r w:rsidRPr="001D040E">
        <w:rPr>
          <w:position w:val="-12"/>
          <w:lang w:eastAsia="ar-SA"/>
        </w:rPr>
        <w:object w:dxaOrig="3320" w:dyaOrig="400">
          <v:shape id="_x0000_i1038" type="#_x0000_t75" style="width:162.75pt;height:19.5pt" o:ole="">
            <v:imagedata r:id="rId35" o:title=""/>
          </v:shape>
          <o:OLEObject Type="Embed" ProgID="Equation.DSMT4" ShapeID="_x0000_i1038" DrawAspect="Content" ObjectID="_1442414764" r:id="rId36"/>
        </w:object>
      </w:r>
      <w:r w:rsidRPr="00FC6750">
        <w:rPr>
          <w:position w:val="-30"/>
          <w:lang w:eastAsia="ar-SA"/>
        </w:rPr>
        <w:object w:dxaOrig="3060" w:dyaOrig="800">
          <v:shape id="_x0000_i1039" type="#_x0000_t75" style="width:150pt;height:39pt" o:ole="">
            <v:imagedata r:id="rId37" o:title=""/>
          </v:shape>
          <o:OLEObject Type="Embed" ProgID="Equation.DSMT4" ShapeID="_x0000_i1039" DrawAspect="Content" ObjectID="_1442414765" r:id="rId38"/>
        </w:object>
      </w:r>
      <w:r w:rsidRPr="00205181">
        <w:rPr>
          <w:lang w:val="en-US" w:eastAsia="ar-SA"/>
        </w:rPr>
        <w:t xml:space="preserve">         (4)</w:t>
      </w:r>
    </w:p>
    <w:p w:rsidR="009D4E9C" w:rsidRPr="00FC6750" w:rsidRDefault="009D4E9C" w:rsidP="002A2EFB">
      <w:pPr>
        <w:spacing w:line="360" w:lineRule="auto"/>
        <w:rPr>
          <w:lang w:val="en-GB" w:eastAsia="ar-SA"/>
        </w:rPr>
      </w:pPr>
      <w:r w:rsidRPr="00FC6750">
        <w:rPr>
          <w:lang w:val="en-GB" w:eastAsia="ar-SA"/>
        </w:rPr>
        <w:t>The expected value and the variance of the denominator are</w:t>
      </w:r>
    </w:p>
    <w:p w:rsidR="009D4E9C" w:rsidRPr="00205181" w:rsidRDefault="009D4E9C" w:rsidP="002A2EFB">
      <w:pPr>
        <w:spacing w:line="360" w:lineRule="auto"/>
        <w:jc w:val="center"/>
        <w:rPr>
          <w:lang w:val="en-US" w:eastAsia="ar-SA"/>
        </w:rPr>
      </w:pPr>
      <w:r w:rsidRPr="00205181">
        <w:rPr>
          <w:lang w:val="en-US" w:eastAsia="ar-SA"/>
        </w:rPr>
        <w:t xml:space="preserve">          </w:t>
      </w:r>
      <w:r w:rsidRPr="001D040E">
        <w:rPr>
          <w:position w:val="-12"/>
          <w:lang w:eastAsia="ar-SA"/>
        </w:rPr>
        <w:object w:dxaOrig="3300" w:dyaOrig="400">
          <v:shape id="_x0000_i1040" type="#_x0000_t75" style="width:165pt;height:19.5pt" o:ole="">
            <v:imagedata r:id="rId39" o:title=""/>
          </v:shape>
          <o:OLEObject Type="Embed" ProgID="Equation.DSMT4" ShapeID="_x0000_i1040" DrawAspect="Content" ObjectID="_1442414766" r:id="rId40"/>
        </w:object>
      </w:r>
      <w:r w:rsidRPr="00FC6750">
        <w:rPr>
          <w:position w:val="-30"/>
          <w:lang w:eastAsia="ar-SA"/>
        </w:rPr>
        <w:object w:dxaOrig="3040" w:dyaOrig="780">
          <v:shape id="_x0000_i1041" type="#_x0000_t75" style="width:152.25pt;height:37.5pt" o:ole="">
            <v:imagedata r:id="rId41" o:title=""/>
          </v:shape>
          <o:OLEObject Type="Embed" ProgID="Equation.DSMT4" ShapeID="_x0000_i1041" DrawAspect="Content" ObjectID="_1442414767" r:id="rId42"/>
        </w:object>
      </w:r>
      <w:r w:rsidRPr="00205181">
        <w:rPr>
          <w:lang w:val="en-US" w:eastAsia="ar-SA"/>
        </w:rPr>
        <w:t xml:space="preserve">       (5)</w:t>
      </w:r>
    </w:p>
    <w:p w:rsidR="009D4E9C" w:rsidRPr="00FC6750" w:rsidRDefault="009D4E9C" w:rsidP="002A2EFB">
      <w:pPr>
        <w:spacing w:line="360" w:lineRule="auto"/>
        <w:rPr>
          <w:lang w:val="en-GB" w:eastAsia="ar-SA"/>
        </w:rPr>
      </w:pPr>
      <w:r w:rsidRPr="00FC6750">
        <w:rPr>
          <w:lang w:val="en-GB" w:eastAsia="ar-SA"/>
        </w:rPr>
        <w:t>The covariance, given the independence of the observations in the two groups, is given by</w:t>
      </w:r>
    </w:p>
    <w:p w:rsidR="009D4E9C" w:rsidRPr="00FC6750" w:rsidRDefault="009D4E9C" w:rsidP="002A2EFB">
      <w:pPr>
        <w:spacing w:line="360" w:lineRule="auto"/>
        <w:jc w:val="center"/>
        <w:rPr>
          <w:position w:val="-12"/>
          <w:lang w:eastAsia="ar-SA"/>
        </w:rPr>
      </w:pPr>
      <w:r w:rsidRPr="00FC6750">
        <w:rPr>
          <w:position w:val="-12"/>
          <w:lang w:eastAsia="ar-SA"/>
        </w:rPr>
        <w:object w:dxaOrig="6060" w:dyaOrig="380">
          <v:shape id="_x0000_i1042" type="#_x0000_t75" style="width:303pt;height:18.75pt" o:ole="">
            <v:imagedata r:id="rId43" o:title=""/>
          </v:shape>
          <o:OLEObject Type="Embed" ProgID="Equation.DSMT4" ShapeID="_x0000_i1042" DrawAspect="Content" ObjectID="_1442414768" r:id="rId44"/>
        </w:object>
      </w:r>
    </w:p>
    <w:p w:rsidR="009D4E9C" w:rsidRPr="00FC6750" w:rsidRDefault="009D4E9C" w:rsidP="002A2EFB">
      <w:pPr>
        <w:spacing w:line="360" w:lineRule="auto"/>
        <w:rPr>
          <w:lang w:val="en-GB" w:eastAsia="ar-SA"/>
        </w:rPr>
      </w:pPr>
      <w:r>
        <w:rPr>
          <w:lang w:val="en-GB" w:eastAsia="ar-SA"/>
        </w:rPr>
        <w:t xml:space="preserve">The correlation coefficient between the </w:t>
      </w:r>
      <w:r w:rsidRPr="00FC6750">
        <w:rPr>
          <w:lang w:val="en-GB" w:eastAsia="ar-SA"/>
        </w:rPr>
        <w:t xml:space="preserve">r.v. of the numerator and the one of the denominator is </w:t>
      </w:r>
    </w:p>
    <w:p w:rsidR="009D4E9C" w:rsidRPr="00673150" w:rsidRDefault="009D4E9C" w:rsidP="002A2EFB">
      <w:pPr>
        <w:spacing w:line="360" w:lineRule="auto"/>
        <w:jc w:val="center"/>
        <w:rPr>
          <w:position w:val="-36"/>
          <w:sz w:val="22"/>
          <w:szCs w:val="22"/>
          <w:lang w:val="en-GB" w:eastAsia="ar-SA"/>
        </w:rPr>
      </w:pPr>
      <w:r>
        <w:rPr>
          <w:sz w:val="22"/>
          <w:szCs w:val="22"/>
          <w:lang w:val="en-GB" w:eastAsia="ar-SA"/>
        </w:rPr>
        <w:t xml:space="preserve">             </w:t>
      </w:r>
      <w:r w:rsidRPr="00673150">
        <w:rPr>
          <w:position w:val="-42"/>
          <w:sz w:val="22"/>
          <w:szCs w:val="22"/>
          <w:lang w:val="en-GB" w:eastAsia="ar-SA"/>
        </w:rPr>
        <w:object w:dxaOrig="7240" w:dyaOrig="840">
          <v:shape id="_x0000_i1043" type="#_x0000_t75" style="width:340.5pt;height:42.75pt" o:ole="">
            <v:imagedata r:id="rId45" o:title=""/>
          </v:shape>
          <o:OLEObject Type="Embed" ProgID="Equation.DSMT4" ShapeID="_x0000_i1043" DrawAspect="Content" ObjectID="_1442414769" r:id="rId46"/>
        </w:object>
      </w:r>
      <w:r>
        <w:rPr>
          <w:sz w:val="22"/>
          <w:szCs w:val="22"/>
          <w:lang w:val="en-GB" w:eastAsia="ar-SA"/>
        </w:rPr>
        <w:t xml:space="preserve"> .          (6)     </w:t>
      </w:r>
    </w:p>
    <w:p w:rsidR="009D4E9C" w:rsidRPr="00FC6750" w:rsidRDefault="009D4E9C" w:rsidP="002A2EFB">
      <w:pPr>
        <w:spacing w:line="360" w:lineRule="auto"/>
        <w:jc w:val="both"/>
        <w:rPr>
          <w:lang w:val="en-GB" w:eastAsia="ar-SA"/>
        </w:rPr>
      </w:pPr>
      <w:r w:rsidRPr="00FC6750">
        <w:rPr>
          <w:lang w:val="en-GB" w:eastAsia="ar-SA"/>
        </w:rPr>
        <w:t xml:space="preserve">The numerator and the denominator of </w:t>
      </w:r>
      <w:r w:rsidRPr="00FC6750">
        <w:rPr>
          <w:position w:val="-4"/>
          <w:lang w:val="en-GB" w:eastAsia="ar-SA"/>
        </w:rPr>
        <w:object w:dxaOrig="240" w:dyaOrig="320">
          <v:shape id="_x0000_i1044" type="#_x0000_t75" style="width:12pt;height:15.75pt" o:ole="">
            <v:imagedata r:id="rId47" o:title=""/>
          </v:shape>
          <o:OLEObject Type="Embed" ProgID="Equation.DSMT4" ShapeID="_x0000_i1044" DrawAspect="Content" ObjectID="_1442414770" r:id="rId48"/>
        </w:object>
      </w:r>
      <w:r w:rsidRPr="00FC6750">
        <w:rPr>
          <w:lang w:val="en-GB" w:eastAsia="ar-SA"/>
        </w:rPr>
        <w:t xml:space="preserve">, if </w:t>
      </w:r>
      <w:r w:rsidRPr="00FC6750">
        <w:rPr>
          <w:lang w:val="en-GB"/>
        </w:rPr>
        <w:t>the number of observations in each of the two groups is not too small</w:t>
      </w:r>
      <w:r w:rsidRPr="00FC6750">
        <w:rPr>
          <w:lang w:val="en-GB" w:eastAsia="ar-SA"/>
        </w:rPr>
        <w:t xml:space="preserve">, may be approximated to normal distributions. </w:t>
      </w:r>
    </w:p>
    <w:p w:rsidR="009D4E9C" w:rsidRPr="00FC6750" w:rsidRDefault="009D4E9C" w:rsidP="002A2EFB">
      <w:pPr>
        <w:spacing w:line="360" w:lineRule="auto"/>
        <w:jc w:val="both"/>
        <w:rPr>
          <w:lang w:val="en-GB" w:eastAsia="ar-SA"/>
        </w:rPr>
      </w:pPr>
      <w:r w:rsidRPr="00FC6750">
        <w:rPr>
          <w:lang w:val="en-GB" w:eastAsia="ar-SA"/>
        </w:rPr>
        <w:t xml:space="preserve">The parameters considered above may be estimated through the ML estimators of a </w:t>
      </w:r>
      <w:r>
        <w:rPr>
          <w:lang w:val="en-GB" w:eastAsia="ar-SA"/>
        </w:rPr>
        <w:t>bivariate correlated normal (</w:t>
      </w:r>
      <w:r w:rsidRPr="00FC6750">
        <w:rPr>
          <w:lang w:val="en-GB" w:eastAsia="ar-SA"/>
        </w:rPr>
        <w:t>BCN</w:t>
      </w:r>
      <w:r>
        <w:rPr>
          <w:lang w:val="en-GB" w:eastAsia="ar-SA"/>
        </w:rPr>
        <w:t>)</w:t>
      </w:r>
      <w:r w:rsidRPr="00FC6750">
        <w:rPr>
          <w:lang w:val="en-GB" w:eastAsia="ar-SA"/>
        </w:rPr>
        <w:t xml:space="preserve"> r.v.</w:t>
      </w:r>
    </w:p>
    <w:p w:rsidR="009D4E9C" w:rsidRPr="00FC6750" w:rsidRDefault="009D4E9C" w:rsidP="002A2EFB">
      <w:pPr>
        <w:spacing w:line="360" w:lineRule="auto"/>
        <w:jc w:val="both"/>
        <w:rPr>
          <w:lang w:val="en-GB"/>
        </w:rPr>
      </w:pPr>
      <w:r w:rsidRPr="00FC6750">
        <w:rPr>
          <w:lang w:val="en-GB"/>
        </w:rPr>
        <w:t xml:space="preserve">In the above situation, the estimator </w:t>
      </w:r>
      <w:r w:rsidRPr="00FC6750">
        <w:rPr>
          <w:position w:val="-4"/>
          <w:lang w:val="en-GB"/>
        </w:rPr>
        <w:object w:dxaOrig="240" w:dyaOrig="320">
          <v:shape id="_x0000_i1045" type="#_x0000_t75" style="width:12pt;height:15.75pt" o:ole="">
            <v:imagedata r:id="rId49" o:title=""/>
          </v:shape>
          <o:OLEObject Type="Embed" ProgID="Equation.DSMT4" ShapeID="_x0000_i1045" DrawAspect="Content" ObjectID="_1442414771" r:id="rId50"/>
        </w:object>
      </w:r>
      <w:r w:rsidRPr="00FC6750">
        <w:rPr>
          <w:lang w:val="en-GB"/>
        </w:rPr>
        <w:t xml:space="preserve"> may be approximated by the</w:t>
      </w:r>
      <w:r>
        <w:rPr>
          <w:lang w:val="en-GB"/>
        </w:rPr>
        <w:t xml:space="preserve"> ratio of two correlated normal</w:t>
      </w:r>
      <w:r w:rsidRPr="00FC6750">
        <w:rPr>
          <w:lang w:val="en-GB"/>
        </w:rPr>
        <w:t xml:space="preserve"> r.v.</w:t>
      </w:r>
    </w:p>
    <w:p w:rsidR="009D4E9C" w:rsidRPr="00673150" w:rsidRDefault="009D4E9C" w:rsidP="002A2EFB">
      <w:pPr>
        <w:spacing w:line="360" w:lineRule="auto"/>
        <w:rPr>
          <w:sz w:val="22"/>
          <w:szCs w:val="22"/>
          <w:lang w:val="en-GB"/>
        </w:rPr>
      </w:pPr>
    </w:p>
    <w:p w:rsidR="009D4E9C" w:rsidRPr="00B542A0" w:rsidRDefault="009D4E9C" w:rsidP="002A2EFB">
      <w:pPr>
        <w:pStyle w:val="Heading1"/>
        <w:spacing w:before="0" w:after="0" w:line="360" w:lineRule="auto"/>
        <w:rPr>
          <w:rFonts w:ascii="Times New Roman" w:hAnsi="Times New Roman" w:cs="Times New Roman"/>
          <w:sz w:val="28"/>
          <w:szCs w:val="28"/>
          <w:lang w:val="en-US"/>
        </w:rPr>
      </w:pPr>
      <w:r w:rsidRPr="00B542A0">
        <w:rPr>
          <w:rFonts w:ascii="Times New Roman" w:hAnsi="Times New Roman" w:cs="Times New Roman"/>
          <w:sz w:val="28"/>
          <w:szCs w:val="28"/>
          <w:lang w:val="en-US"/>
        </w:rPr>
        <w:t>THE CONFIDENCE INTERVAL</w:t>
      </w:r>
      <w:r>
        <w:rPr>
          <w:rFonts w:ascii="Times New Roman" w:hAnsi="Times New Roman" w:cs="Times New Roman"/>
          <w:sz w:val="28"/>
          <w:szCs w:val="28"/>
          <w:lang w:val="en-US"/>
        </w:rPr>
        <w:t xml:space="preserve">S </w:t>
      </w:r>
      <w:r w:rsidRPr="00B542A0">
        <w:rPr>
          <w:rFonts w:ascii="Times New Roman" w:hAnsi="Times New Roman" w:cs="Times New Roman"/>
          <w:sz w:val="28"/>
          <w:szCs w:val="28"/>
          <w:lang w:val="en-US"/>
        </w:rPr>
        <w:t xml:space="preserve"> FOR ICER</w:t>
      </w:r>
      <w:r>
        <w:rPr>
          <w:rFonts w:ascii="Times New Roman" w:hAnsi="Times New Roman" w:cs="Times New Roman"/>
          <w:sz w:val="28"/>
          <w:szCs w:val="28"/>
          <w:lang w:val="en-US"/>
        </w:rPr>
        <w:t xml:space="preserve"> </w:t>
      </w:r>
      <w:r w:rsidRPr="00B542A0">
        <w:rPr>
          <w:rFonts w:ascii="Times New Roman" w:hAnsi="Times New Roman" w:cs="Times New Roman"/>
          <w:sz w:val="28"/>
          <w:szCs w:val="28"/>
          <w:lang w:val="en-US"/>
        </w:rPr>
        <w:t>BASED</w:t>
      </w:r>
      <w:r>
        <w:rPr>
          <w:rFonts w:ascii="Times New Roman" w:hAnsi="Times New Roman" w:cs="Times New Roman"/>
          <w:sz w:val="28"/>
          <w:szCs w:val="28"/>
          <w:lang w:val="en-US"/>
        </w:rPr>
        <w:t xml:space="preserve"> </w:t>
      </w:r>
      <w:r w:rsidRPr="00B542A0">
        <w:rPr>
          <w:rFonts w:ascii="Times New Roman" w:hAnsi="Times New Roman" w:cs="Times New Roman"/>
          <w:sz w:val="28"/>
          <w:szCs w:val="28"/>
          <w:lang w:val="en-US"/>
        </w:rPr>
        <w:t>ON THE EXACT</w:t>
      </w:r>
      <w:r>
        <w:rPr>
          <w:rFonts w:ascii="Times New Roman" w:hAnsi="Times New Roman" w:cs="Times New Roman"/>
          <w:sz w:val="28"/>
          <w:szCs w:val="28"/>
          <w:lang w:val="en-US"/>
        </w:rPr>
        <w:t xml:space="preserve"> D</w:t>
      </w:r>
      <w:r w:rsidRPr="00B542A0">
        <w:rPr>
          <w:rFonts w:ascii="Times New Roman" w:hAnsi="Times New Roman" w:cs="Times New Roman"/>
          <w:sz w:val="28"/>
          <w:szCs w:val="28"/>
          <w:lang w:val="en-US"/>
        </w:rPr>
        <w:t xml:space="preserve">ISTRIBUTION OF THE ESTIMATOR </w:t>
      </w:r>
    </w:p>
    <w:p w:rsidR="009D4E9C" w:rsidRPr="00FC6750" w:rsidRDefault="009D4E9C" w:rsidP="002A2EFB">
      <w:pPr>
        <w:spacing w:line="360" w:lineRule="auto"/>
        <w:jc w:val="both"/>
        <w:rPr>
          <w:bCs/>
          <w:lang w:val="en-GB"/>
        </w:rPr>
      </w:pPr>
      <w:r w:rsidRPr="00FC6750">
        <w:rPr>
          <w:bCs/>
          <w:lang w:val="en-GB"/>
        </w:rPr>
        <w:t xml:space="preserve">In order to propose a method for constructing  confidence intervals around the ICER, we consider, first of all, the distribution of the ratio of two correlated normal </w:t>
      </w:r>
      <w:r>
        <w:rPr>
          <w:bCs/>
          <w:lang w:val="en-GB"/>
        </w:rPr>
        <w:t>r.vs</w:t>
      </w:r>
      <w:r w:rsidRPr="00FC6750">
        <w:rPr>
          <w:bCs/>
          <w:lang w:val="en-GB"/>
        </w:rPr>
        <w:t>.</w:t>
      </w:r>
    </w:p>
    <w:p w:rsidR="009D4E9C" w:rsidRPr="00FC6750" w:rsidRDefault="009D4E9C" w:rsidP="002A2EFB">
      <w:pPr>
        <w:spacing w:line="360" w:lineRule="auto"/>
        <w:rPr>
          <w:b/>
          <w:bCs/>
          <w:lang w:val="en-GB"/>
        </w:rPr>
      </w:pPr>
    </w:p>
    <w:p w:rsidR="009D4E9C" w:rsidRPr="00FC6750" w:rsidRDefault="009D4E9C" w:rsidP="002A2EFB">
      <w:pPr>
        <w:pStyle w:val="Heading2"/>
        <w:spacing w:before="0" w:after="0" w:line="360" w:lineRule="auto"/>
        <w:rPr>
          <w:rFonts w:ascii="Times New Roman" w:hAnsi="Times New Roman" w:cs="Times New Roman"/>
          <w:b w:val="0"/>
          <w:i w:val="0"/>
          <w:sz w:val="24"/>
          <w:szCs w:val="24"/>
          <w:u w:val="single"/>
          <w:lang w:val="en-GB"/>
        </w:rPr>
      </w:pPr>
      <w:r w:rsidRPr="00FC6750">
        <w:rPr>
          <w:rFonts w:ascii="Times New Roman" w:hAnsi="Times New Roman" w:cs="Times New Roman"/>
          <w:b w:val="0"/>
          <w:i w:val="0"/>
          <w:sz w:val="24"/>
          <w:szCs w:val="24"/>
          <w:u w:val="single"/>
          <w:lang w:val="en-GB"/>
        </w:rPr>
        <w:t>The distribution  of the</w:t>
      </w:r>
      <w:r>
        <w:rPr>
          <w:rFonts w:ascii="Times New Roman" w:hAnsi="Times New Roman" w:cs="Times New Roman"/>
          <w:b w:val="0"/>
          <w:i w:val="0"/>
          <w:sz w:val="24"/>
          <w:szCs w:val="24"/>
          <w:u w:val="single"/>
          <w:lang w:val="en-GB"/>
        </w:rPr>
        <w:t xml:space="preserve"> ratio of two correlated normal r.v.</w:t>
      </w:r>
    </w:p>
    <w:p w:rsidR="009D4E9C" w:rsidRPr="00FC6750" w:rsidRDefault="009D4E9C" w:rsidP="002A2EFB">
      <w:pPr>
        <w:pStyle w:val="Maintextfirstline"/>
        <w:spacing w:line="360" w:lineRule="auto"/>
        <w:rPr>
          <w:sz w:val="24"/>
          <w:szCs w:val="24"/>
        </w:rPr>
      </w:pPr>
      <w:r w:rsidRPr="00FC6750">
        <w:rPr>
          <w:sz w:val="24"/>
          <w:szCs w:val="24"/>
        </w:rPr>
        <w:t xml:space="preserve">Let us consider a </w:t>
      </w:r>
      <w:r>
        <w:rPr>
          <w:sz w:val="24"/>
          <w:szCs w:val="24"/>
        </w:rPr>
        <w:t>BCN r.v.</w:t>
      </w:r>
    </w:p>
    <w:p w:rsidR="009D4E9C" w:rsidRPr="00FC6750" w:rsidRDefault="009D4E9C" w:rsidP="002A2EFB">
      <w:pPr>
        <w:pStyle w:val="Maintextfirstline"/>
        <w:spacing w:line="360" w:lineRule="auto"/>
        <w:rPr>
          <w:sz w:val="24"/>
          <w:szCs w:val="24"/>
        </w:rPr>
      </w:pPr>
      <w:r w:rsidRPr="00FC6750">
        <w:rPr>
          <w:sz w:val="24"/>
          <w:szCs w:val="24"/>
        </w:rPr>
        <w:t xml:space="preserve"> </w:t>
      </w:r>
      <w:r w:rsidRPr="00FC6750">
        <w:rPr>
          <w:position w:val="-12"/>
          <w:sz w:val="24"/>
          <w:szCs w:val="24"/>
        </w:rPr>
        <w:object w:dxaOrig="2860" w:dyaOrig="400">
          <v:shape id="_x0000_i1046" type="#_x0000_t75" style="width:141.75pt;height:20.25pt" o:ole="">
            <v:imagedata r:id="rId51" o:title=""/>
          </v:shape>
          <o:OLEObject Type="Embed" ProgID="Equation.DSMT4" ShapeID="_x0000_i1046" DrawAspect="Content" ObjectID="_1442414772" r:id="rId52"/>
        </w:object>
      </w:r>
      <w:r w:rsidRPr="00FC6750">
        <w:rPr>
          <w:sz w:val="24"/>
          <w:szCs w:val="24"/>
        </w:rPr>
        <w:t>.</w:t>
      </w:r>
    </w:p>
    <w:p w:rsidR="009D4E9C" w:rsidRPr="00FC6750" w:rsidRDefault="009D4E9C" w:rsidP="002A2EFB">
      <w:pPr>
        <w:pStyle w:val="Maintext"/>
        <w:spacing w:line="360" w:lineRule="auto"/>
        <w:ind w:firstLine="284"/>
        <w:rPr>
          <w:sz w:val="24"/>
          <w:szCs w:val="24"/>
        </w:rPr>
      </w:pPr>
      <w:r w:rsidRPr="00FC6750">
        <w:rPr>
          <w:sz w:val="24"/>
          <w:szCs w:val="24"/>
        </w:rPr>
        <w:t xml:space="preserve">The r.v.  </w:t>
      </w:r>
      <w:r w:rsidRPr="00FC6750">
        <w:rPr>
          <w:position w:val="-20"/>
          <w:sz w:val="24"/>
          <w:szCs w:val="24"/>
        </w:rPr>
        <w:object w:dxaOrig="660" w:dyaOrig="500">
          <v:shape id="_x0000_i1047" type="#_x0000_t75" style="width:33pt;height:24.75pt" o:ole="">
            <v:imagedata r:id="rId53" o:title=""/>
          </v:shape>
          <o:OLEObject Type="Embed" ProgID="Equation.DSMT4" ShapeID="_x0000_i1047" DrawAspect="Content" ObjectID="_1442414773" r:id="rId54"/>
        </w:object>
      </w:r>
      <w:r w:rsidRPr="00FC6750">
        <w:rPr>
          <w:sz w:val="24"/>
          <w:szCs w:val="24"/>
        </w:rPr>
        <w:t xml:space="preserve"> has </w:t>
      </w:r>
      <w:r>
        <w:rPr>
          <w:sz w:val="24"/>
          <w:szCs w:val="24"/>
        </w:rPr>
        <w:t>the cumulative density function (</w:t>
      </w:r>
      <w:r w:rsidRPr="00FC6750">
        <w:rPr>
          <w:sz w:val="24"/>
          <w:szCs w:val="24"/>
        </w:rPr>
        <w:t>CDF</w:t>
      </w:r>
      <w:r>
        <w:rPr>
          <w:sz w:val="24"/>
          <w:szCs w:val="24"/>
        </w:rPr>
        <w:t>)</w:t>
      </w:r>
      <w:r w:rsidRPr="00FC6750">
        <w:rPr>
          <w:sz w:val="24"/>
          <w:szCs w:val="24"/>
        </w:rPr>
        <w:t xml:space="preserve"> given by (Aroian and Oksoy, 1986) </w:t>
      </w:r>
    </w:p>
    <w:p w:rsidR="009D4E9C" w:rsidRPr="00673150" w:rsidRDefault="009D4E9C" w:rsidP="002A2EFB">
      <w:pPr>
        <w:pStyle w:val="Maintext"/>
        <w:spacing w:line="360" w:lineRule="auto"/>
        <w:rPr>
          <w:sz w:val="22"/>
          <w:szCs w:val="22"/>
        </w:rPr>
      </w:pPr>
      <w:r w:rsidRPr="00673150">
        <w:rPr>
          <w:position w:val="-42"/>
          <w:sz w:val="22"/>
          <w:szCs w:val="22"/>
        </w:rPr>
        <w:object w:dxaOrig="6280" w:dyaOrig="960">
          <v:shape id="_x0000_i1048" type="#_x0000_t75" style="width:314.25pt;height:48pt" o:ole="">
            <v:imagedata r:id="rId55" o:title=""/>
          </v:shape>
          <o:OLEObject Type="Embed" ProgID="Equation.DSMT4" ShapeID="_x0000_i1048" DrawAspect="Content" ObjectID="_1442414774" r:id="rId56"/>
        </w:object>
      </w:r>
      <w:r>
        <w:rPr>
          <w:sz w:val="22"/>
          <w:szCs w:val="22"/>
        </w:rPr>
        <w:t xml:space="preserve">                                      (7)</w:t>
      </w:r>
    </w:p>
    <w:p w:rsidR="009D4E9C" w:rsidRPr="00FC6750" w:rsidRDefault="009D4E9C" w:rsidP="002A2EFB">
      <w:pPr>
        <w:pStyle w:val="Maintext"/>
        <w:spacing w:line="360" w:lineRule="auto"/>
        <w:rPr>
          <w:sz w:val="24"/>
          <w:szCs w:val="24"/>
        </w:rPr>
      </w:pPr>
      <w:r w:rsidRPr="00FC6750">
        <w:rPr>
          <w:position w:val="-6"/>
          <w:sz w:val="24"/>
          <w:szCs w:val="24"/>
        </w:rPr>
        <w:object w:dxaOrig="660" w:dyaOrig="280">
          <v:shape id="_x0000_i1049" type="#_x0000_t75" style="width:33pt;height:14.25pt" o:ole="">
            <v:imagedata r:id="rId57" o:title=""/>
          </v:shape>
          <o:OLEObject Type="Embed" ProgID="Equation.DSMT4" ShapeID="_x0000_i1049" DrawAspect="Content" ObjectID="_1442414775" r:id="rId58"/>
        </w:object>
      </w:r>
      <w:r w:rsidRPr="00FC6750">
        <w:rPr>
          <w:sz w:val="24"/>
          <w:szCs w:val="24"/>
        </w:rPr>
        <w:t>, where</w:t>
      </w:r>
    </w:p>
    <w:p w:rsidR="009D4E9C" w:rsidRPr="00673150" w:rsidRDefault="009D4E9C" w:rsidP="002A2EFB">
      <w:pPr>
        <w:pStyle w:val="Maintext"/>
        <w:spacing w:line="360" w:lineRule="auto"/>
        <w:rPr>
          <w:sz w:val="22"/>
          <w:szCs w:val="22"/>
        </w:rPr>
      </w:pPr>
      <w:r w:rsidRPr="00673150">
        <w:rPr>
          <w:position w:val="-32"/>
          <w:sz w:val="22"/>
          <w:szCs w:val="22"/>
        </w:rPr>
        <w:object w:dxaOrig="2659" w:dyaOrig="760">
          <v:shape id="_x0000_i1050" type="#_x0000_t75" style="width:130.5pt;height:38.25pt" o:ole="">
            <v:imagedata r:id="rId59" o:title=""/>
          </v:shape>
          <o:OLEObject Type="Embed" ProgID="Equation.DSMT4" ShapeID="_x0000_i1050" DrawAspect="Content" ObjectID="_1442414776" r:id="rId60"/>
        </w:object>
      </w:r>
      <w:r w:rsidRPr="00673150">
        <w:rPr>
          <w:sz w:val="22"/>
          <w:szCs w:val="22"/>
        </w:rPr>
        <w:t>,</w:t>
      </w:r>
      <w:r w:rsidRPr="00673150">
        <w:rPr>
          <w:position w:val="-32"/>
          <w:sz w:val="22"/>
          <w:szCs w:val="22"/>
        </w:rPr>
        <w:object w:dxaOrig="1040" w:dyaOrig="760">
          <v:shape id="_x0000_i1051" type="#_x0000_t75" style="width:51.75pt;height:38.25pt" o:ole="">
            <v:imagedata r:id="rId61" o:title=""/>
          </v:shape>
          <o:OLEObject Type="Embed" ProgID="Equation.DSMT4" ShapeID="_x0000_i1051" DrawAspect="Content" ObjectID="_1442414777" r:id="rId62"/>
        </w:object>
      </w:r>
      <w:r w:rsidRPr="00673150">
        <w:rPr>
          <w:sz w:val="22"/>
          <w:szCs w:val="22"/>
        </w:rPr>
        <w:t xml:space="preserve">, </w:t>
      </w:r>
      <w:r w:rsidRPr="00673150">
        <w:rPr>
          <w:position w:val="-32"/>
          <w:sz w:val="22"/>
          <w:szCs w:val="22"/>
        </w:rPr>
        <w:object w:dxaOrig="2540" w:dyaOrig="760">
          <v:shape id="_x0000_i1052" type="#_x0000_t75" style="width:126pt;height:38.25pt" o:ole="">
            <v:imagedata r:id="rId63" o:title=""/>
          </v:shape>
          <o:OLEObject Type="Embed" ProgID="Equation.DSMT4" ShapeID="_x0000_i1052" DrawAspect="Content" ObjectID="_1442414778" r:id="rId64"/>
        </w:object>
      </w:r>
      <w:r>
        <w:rPr>
          <w:sz w:val="22"/>
          <w:szCs w:val="22"/>
        </w:rPr>
        <w:t>,</w:t>
      </w:r>
    </w:p>
    <w:p w:rsidR="009D4E9C" w:rsidRPr="00673150" w:rsidRDefault="009D4E9C" w:rsidP="002A2EFB">
      <w:pPr>
        <w:pStyle w:val="Maintext"/>
        <w:spacing w:line="360" w:lineRule="auto"/>
        <w:rPr>
          <w:sz w:val="22"/>
          <w:szCs w:val="22"/>
        </w:rPr>
      </w:pPr>
    </w:p>
    <w:p w:rsidR="009D4E9C" w:rsidRPr="00FC6750" w:rsidRDefault="009D4E9C" w:rsidP="002A2EFB">
      <w:pPr>
        <w:pStyle w:val="Maintext"/>
        <w:spacing w:line="360" w:lineRule="auto"/>
        <w:rPr>
          <w:sz w:val="24"/>
          <w:szCs w:val="24"/>
        </w:rPr>
      </w:pPr>
      <w:r w:rsidRPr="00FC6750">
        <w:rPr>
          <w:sz w:val="24"/>
          <w:szCs w:val="24"/>
        </w:rPr>
        <w:t xml:space="preserve">and </w:t>
      </w:r>
      <w:r w:rsidRPr="00FC6750">
        <w:rPr>
          <w:position w:val="-10"/>
          <w:sz w:val="24"/>
          <w:szCs w:val="24"/>
        </w:rPr>
        <w:object w:dxaOrig="980" w:dyaOrig="320">
          <v:shape id="_x0000_i1053" type="#_x0000_t75" style="width:48.75pt;height:15.75pt" o:ole="">
            <v:imagedata r:id="rId65" o:title=""/>
          </v:shape>
          <o:OLEObject Type="Embed" ProgID="Equation.DSMT4" ShapeID="_x0000_i1053" DrawAspect="Content" ObjectID="_1442414779" r:id="rId66"/>
        </w:object>
      </w:r>
      <w:r w:rsidRPr="00FC6750">
        <w:rPr>
          <w:sz w:val="24"/>
          <w:szCs w:val="24"/>
        </w:rPr>
        <w:t xml:space="preserve"> is the bivariate normal integral according to the indication of Kotz et al. (2000).</w:t>
      </w:r>
    </w:p>
    <w:p w:rsidR="009D4E9C" w:rsidRPr="00FC6750" w:rsidRDefault="009D4E9C" w:rsidP="002A2EFB">
      <w:pPr>
        <w:pStyle w:val="Maintext"/>
        <w:spacing w:line="360" w:lineRule="auto"/>
        <w:rPr>
          <w:sz w:val="24"/>
          <w:szCs w:val="24"/>
        </w:rPr>
      </w:pPr>
      <w:r w:rsidRPr="00FC6750">
        <w:rPr>
          <w:sz w:val="24"/>
          <w:szCs w:val="24"/>
        </w:rPr>
        <w:t>An alternative formula</w:t>
      </w:r>
      <w:r>
        <w:rPr>
          <w:sz w:val="24"/>
          <w:szCs w:val="24"/>
        </w:rPr>
        <w:t xml:space="preserve"> (Oksoy, Aroian, 1994)</w:t>
      </w:r>
      <w:r w:rsidRPr="00FC6750">
        <w:rPr>
          <w:sz w:val="24"/>
          <w:szCs w:val="24"/>
        </w:rPr>
        <w:t xml:space="preserve"> for </w:t>
      </w:r>
      <w:r w:rsidRPr="00FC6750">
        <w:rPr>
          <w:position w:val="-16"/>
          <w:sz w:val="24"/>
          <w:szCs w:val="24"/>
        </w:rPr>
        <w:object w:dxaOrig="740" w:dyaOrig="400">
          <v:shape id="_x0000_i1054" type="#_x0000_t75" style="width:36.75pt;height:20.25pt" o:ole="">
            <v:imagedata r:id="rId67" o:title=""/>
          </v:shape>
          <o:OLEObject Type="Embed" ProgID="Equation.DSMT4" ShapeID="_x0000_i1054" DrawAspect="Content" ObjectID="_1442414780" r:id="rId68"/>
        </w:object>
      </w:r>
      <w:r w:rsidRPr="00FC6750">
        <w:rPr>
          <w:sz w:val="24"/>
          <w:szCs w:val="24"/>
        </w:rPr>
        <w:t xml:space="preserve">involving the </w:t>
      </w:r>
      <w:r w:rsidRPr="00FC6750">
        <w:rPr>
          <w:position w:val="-14"/>
          <w:sz w:val="24"/>
          <w:szCs w:val="24"/>
        </w:rPr>
        <w:object w:dxaOrig="780" w:dyaOrig="400">
          <v:shape id="_x0000_i1055" type="#_x0000_t75" style="width:39pt;height:20.25pt" o:ole="">
            <v:imagedata r:id="rId69" o:title=""/>
          </v:shape>
          <o:OLEObject Type="Embed" ProgID="Equation.DSMT4" ShapeID="_x0000_i1055" DrawAspect="Content" ObjectID="_1442414781" r:id="rId70"/>
        </w:object>
      </w:r>
      <w:r w:rsidRPr="00FC6750">
        <w:rPr>
          <w:sz w:val="24"/>
          <w:szCs w:val="24"/>
        </w:rPr>
        <w:t xml:space="preserve"> function of Nicholson (1943) is </w:t>
      </w:r>
    </w:p>
    <w:p w:rsidR="009D4E9C" w:rsidRPr="00FC6750" w:rsidRDefault="009D4E9C" w:rsidP="002A2EFB">
      <w:pPr>
        <w:pStyle w:val="Maintext"/>
        <w:spacing w:line="360" w:lineRule="auto"/>
        <w:rPr>
          <w:sz w:val="24"/>
          <w:szCs w:val="24"/>
        </w:rPr>
      </w:pPr>
      <w:r w:rsidRPr="00DB7258">
        <w:rPr>
          <w:position w:val="-40"/>
          <w:sz w:val="24"/>
          <w:szCs w:val="24"/>
        </w:rPr>
        <w:object w:dxaOrig="6259" w:dyaOrig="920">
          <v:shape id="_x0000_i1056" type="#_x0000_t75" style="width:309.75pt;height:45.75pt" o:ole="">
            <v:imagedata r:id="rId71" o:title=""/>
          </v:shape>
          <o:OLEObject Type="Embed" ProgID="Equation.DSMT4" ShapeID="_x0000_i1056" DrawAspect="Content" ObjectID="_1442414782" r:id="rId72"/>
        </w:object>
      </w:r>
      <w:r>
        <w:rPr>
          <w:sz w:val="24"/>
          <w:szCs w:val="24"/>
        </w:rPr>
        <w:t xml:space="preserve">                                   (8)</w:t>
      </w:r>
    </w:p>
    <w:p w:rsidR="009D4E9C" w:rsidRPr="00FC6750" w:rsidRDefault="009D4E9C" w:rsidP="002A2EFB">
      <w:pPr>
        <w:pStyle w:val="Maintext"/>
        <w:spacing w:line="360" w:lineRule="auto"/>
        <w:rPr>
          <w:sz w:val="24"/>
          <w:szCs w:val="24"/>
        </w:rPr>
      </w:pPr>
      <w:r w:rsidRPr="00FC6750">
        <w:rPr>
          <w:sz w:val="24"/>
          <w:szCs w:val="24"/>
        </w:rPr>
        <w:t>where</w:t>
      </w:r>
    </w:p>
    <w:p w:rsidR="009D4E9C" w:rsidRPr="00FC6750" w:rsidRDefault="009D4E9C" w:rsidP="002A2EFB">
      <w:pPr>
        <w:pStyle w:val="Maintext"/>
        <w:spacing w:line="360" w:lineRule="auto"/>
        <w:rPr>
          <w:sz w:val="24"/>
          <w:szCs w:val="24"/>
        </w:rPr>
      </w:pPr>
      <w:r w:rsidRPr="00FC6750">
        <w:rPr>
          <w:position w:val="-24"/>
          <w:sz w:val="24"/>
          <w:szCs w:val="24"/>
        </w:rPr>
        <w:object w:dxaOrig="4020" w:dyaOrig="620">
          <v:shape id="_x0000_i1057" type="#_x0000_t75" style="width:201pt;height:30.75pt" o:ole="">
            <v:imagedata r:id="rId73" o:title=""/>
          </v:shape>
          <o:OLEObject Type="Embed" ProgID="Equation.DSMT4" ShapeID="_x0000_i1057" DrawAspect="Content" ObjectID="_1442414783" r:id="rId74"/>
        </w:object>
      </w:r>
    </w:p>
    <w:p w:rsidR="009D4E9C" w:rsidRDefault="009D4E9C" w:rsidP="002A2EFB">
      <w:pPr>
        <w:pStyle w:val="Maintext"/>
        <w:spacing w:line="360" w:lineRule="auto"/>
        <w:rPr>
          <w:sz w:val="24"/>
          <w:szCs w:val="24"/>
        </w:rPr>
      </w:pPr>
      <w:r>
        <w:rPr>
          <w:sz w:val="24"/>
          <w:szCs w:val="24"/>
        </w:rPr>
        <w:t xml:space="preserve">Remembering the </w:t>
      </w:r>
      <w:r w:rsidRPr="00FC6750">
        <w:rPr>
          <w:sz w:val="24"/>
          <w:szCs w:val="24"/>
        </w:rPr>
        <w:t xml:space="preserve"> function of Owen (1956)</w:t>
      </w:r>
    </w:p>
    <w:p w:rsidR="009D4E9C" w:rsidRDefault="009D4E9C" w:rsidP="002A2EFB">
      <w:pPr>
        <w:pStyle w:val="Maintext"/>
        <w:spacing w:line="360" w:lineRule="auto"/>
        <w:rPr>
          <w:sz w:val="24"/>
          <w:szCs w:val="24"/>
        </w:rPr>
      </w:pPr>
      <w:r>
        <w:rPr>
          <w:sz w:val="24"/>
          <w:szCs w:val="24"/>
        </w:rPr>
        <w:t xml:space="preserve"> </w:t>
      </w:r>
      <w:r w:rsidRPr="00FC6750">
        <w:rPr>
          <w:position w:val="-24"/>
          <w:sz w:val="24"/>
          <w:szCs w:val="24"/>
        </w:rPr>
        <w:object w:dxaOrig="3240" w:dyaOrig="620">
          <v:shape id="_x0000_i1058" type="#_x0000_t75" style="width:162pt;height:30.75pt" o:ole="">
            <v:imagedata r:id="rId75" o:title=""/>
          </v:shape>
          <o:OLEObject Type="Embed" ProgID="Equation.DSMT4" ShapeID="_x0000_i1058" DrawAspect="Content" ObjectID="_1442414784" r:id="rId76"/>
        </w:object>
      </w:r>
      <w:r>
        <w:rPr>
          <w:sz w:val="24"/>
          <w:szCs w:val="24"/>
        </w:rPr>
        <w:t>,</w:t>
      </w:r>
    </w:p>
    <w:p w:rsidR="009D4E9C" w:rsidRPr="00FC6750" w:rsidRDefault="009D4E9C" w:rsidP="002A2EFB">
      <w:pPr>
        <w:pStyle w:val="Maintext"/>
        <w:spacing w:line="360" w:lineRule="auto"/>
        <w:rPr>
          <w:sz w:val="24"/>
          <w:szCs w:val="24"/>
        </w:rPr>
      </w:pPr>
      <w:r>
        <w:rPr>
          <w:sz w:val="24"/>
          <w:szCs w:val="24"/>
        </w:rPr>
        <w:t>it has been</w:t>
      </w:r>
      <w:r w:rsidRPr="00FC6750">
        <w:rPr>
          <w:sz w:val="24"/>
          <w:szCs w:val="24"/>
        </w:rPr>
        <w:t xml:space="preserve"> easy to find </w:t>
      </w:r>
      <w:r>
        <w:rPr>
          <w:sz w:val="24"/>
          <w:szCs w:val="24"/>
        </w:rPr>
        <w:t>(Pollastri,</w:t>
      </w:r>
      <w:r w:rsidRPr="00FC6750">
        <w:rPr>
          <w:sz w:val="24"/>
          <w:szCs w:val="24"/>
        </w:rPr>
        <w:t>Tulli, 2012)</w:t>
      </w:r>
      <w:r>
        <w:rPr>
          <w:sz w:val="24"/>
          <w:szCs w:val="24"/>
        </w:rPr>
        <w:t xml:space="preserve"> the following formula</w:t>
      </w:r>
    </w:p>
    <w:p w:rsidR="009D4E9C" w:rsidRPr="00673150" w:rsidRDefault="009D4E9C" w:rsidP="00113163">
      <w:pPr>
        <w:pStyle w:val="Maintext"/>
        <w:spacing w:line="360" w:lineRule="auto"/>
        <w:rPr>
          <w:sz w:val="22"/>
          <w:szCs w:val="22"/>
          <w:lang w:val="en-US"/>
        </w:rPr>
      </w:pPr>
      <w:r w:rsidRPr="00673150">
        <w:rPr>
          <w:position w:val="-80"/>
          <w:sz w:val="22"/>
          <w:szCs w:val="22"/>
        </w:rPr>
        <w:object w:dxaOrig="5460" w:dyaOrig="1719">
          <v:shape id="_x0000_i1059" type="#_x0000_t75" style="width:273pt;height:86.25pt" o:ole="">
            <v:imagedata r:id="rId77" o:title=""/>
          </v:shape>
          <o:OLEObject Type="Embed" ProgID="Equation.DSMT4" ShapeID="_x0000_i1059" DrawAspect="Content" ObjectID="_1442414785" r:id="rId78"/>
        </w:object>
      </w:r>
      <w:r>
        <w:rPr>
          <w:sz w:val="22"/>
          <w:szCs w:val="22"/>
        </w:rPr>
        <w:t xml:space="preserve">                                            (9)                                                                                                                </w:t>
      </w:r>
    </w:p>
    <w:p w:rsidR="009D4E9C" w:rsidRDefault="009D4E9C" w:rsidP="002A2EFB">
      <w:pPr>
        <w:spacing w:line="360" w:lineRule="auto"/>
        <w:jc w:val="both"/>
        <w:rPr>
          <w:sz w:val="22"/>
          <w:szCs w:val="22"/>
          <w:lang w:val="en-US"/>
        </w:rPr>
      </w:pPr>
    </w:p>
    <w:p w:rsidR="009D4E9C" w:rsidRPr="00FC6750" w:rsidRDefault="009D4E9C" w:rsidP="002A2EFB">
      <w:pPr>
        <w:pStyle w:val="Heading2"/>
        <w:spacing w:before="0" w:after="0" w:line="360" w:lineRule="auto"/>
        <w:rPr>
          <w:rFonts w:ascii="Times New Roman" w:hAnsi="Times New Roman" w:cs="Times New Roman"/>
          <w:b w:val="0"/>
          <w:i w:val="0"/>
          <w:sz w:val="24"/>
          <w:szCs w:val="24"/>
          <w:u w:val="single"/>
          <w:lang w:val="en-GB"/>
        </w:rPr>
      </w:pPr>
      <w:r w:rsidRPr="00FC6750">
        <w:rPr>
          <w:rFonts w:ascii="Times New Roman" w:hAnsi="Times New Roman" w:cs="Times New Roman"/>
          <w:b w:val="0"/>
          <w:i w:val="0"/>
          <w:sz w:val="24"/>
          <w:szCs w:val="24"/>
          <w:u w:val="single"/>
          <w:lang w:val="en-GB"/>
        </w:rPr>
        <w:t>Confidence intervals for the ICER</w:t>
      </w:r>
    </w:p>
    <w:p w:rsidR="009D4E9C" w:rsidRPr="00FC6750" w:rsidRDefault="009D4E9C" w:rsidP="002A2EFB">
      <w:pPr>
        <w:spacing w:line="360" w:lineRule="auto"/>
        <w:jc w:val="both"/>
        <w:rPr>
          <w:u w:val="single"/>
          <w:lang w:val="en-US"/>
        </w:rPr>
      </w:pPr>
      <w:r w:rsidRPr="00FC6750">
        <w:rPr>
          <w:lang w:val="en-GB"/>
        </w:rPr>
        <w:t xml:space="preserve">In her PhD thesis (2007), Galeone proposed a new approach, called the exact distribution method, to construct the </w:t>
      </w:r>
      <w:r>
        <w:rPr>
          <w:lang w:val="en-GB"/>
        </w:rPr>
        <w:t>CI</w:t>
      </w:r>
      <w:r w:rsidRPr="00FC6750">
        <w:rPr>
          <w:lang w:val="en-GB"/>
        </w:rPr>
        <w:t xml:space="preserve"> </w:t>
      </w:r>
      <w:r w:rsidRPr="007B5ACA">
        <w:rPr>
          <w:lang w:val="en-GB"/>
        </w:rPr>
        <w:t xml:space="preserve">for </w:t>
      </w:r>
      <w:r w:rsidRPr="000566D5">
        <w:rPr>
          <w:position w:val="-30"/>
          <w:lang w:val="en-GB"/>
        </w:rPr>
        <w:object w:dxaOrig="420" w:dyaOrig="680">
          <v:shape id="_x0000_i1060" type="#_x0000_t75" style="width:21pt;height:33.75pt" o:ole="">
            <v:imagedata r:id="rId79" o:title=""/>
          </v:shape>
          <o:OLEObject Type="Embed" ProgID="Equation.DSMT4" ShapeID="_x0000_i1060" DrawAspect="Content" ObjectID="_1442414786" r:id="rId80"/>
        </w:object>
      </w:r>
      <w:r w:rsidRPr="000566D5">
        <w:rPr>
          <w:lang w:val="en-GB"/>
        </w:rPr>
        <w:t>, t</w:t>
      </w:r>
      <w:r w:rsidRPr="00FC6750">
        <w:rPr>
          <w:lang w:val="en-GB"/>
        </w:rPr>
        <w:t xml:space="preserve">he ratio of two means, based on the inverse CDF of </w:t>
      </w:r>
      <w:r w:rsidRPr="00FC6750">
        <w:rPr>
          <w:i/>
          <w:iCs/>
          <w:lang w:val="en-GB"/>
        </w:rPr>
        <w:t>W</w:t>
      </w:r>
      <w:r w:rsidRPr="00FC6750">
        <w:rPr>
          <w:i/>
          <w:iCs/>
          <w:vertAlign w:val="subscript"/>
          <w:lang w:val="en-GB"/>
        </w:rPr>
        <w:t>n</w:t>
      </w:r>
      <w:r w:rsidRPr="00FC6750">
        <w:rPr>
          <w:lang w:val="en-GB"/>
        </w:rPr>
        <w:t xml:space="preserve">. </w:t>
      </w:r>
      <w:r>
        <w:rPr>
          <w:lang w:val="en-GB"/>
        </w:rPr>
        <w:t xml:space="preserve"> </w:t>
      </w:r>
    </w:p>
    <w:p w:rsidR="009D4E9C" w:rsidRPr="00FC6750" w:rsidRDefault="009D4E9C" w:rsidP="002A2EFB">
      <w:pPr>
        <w:spacing w:line="360" w:lineRule="auto"/>
        <w:jc w:val="both"/>
        <w:rPr>
          <w:lang w:val="en-GB"/>
        </w:rPr>
      </w:pPr>
      <w:r w:rsidRPr="00FC6750">
        <w:rPr>
          <w:lang w:val="en-GB"/>
        </w:rPr>
        <w:t xml:space="preserve">This approach always guarantees the existence of bounded </w:t>
      </w:r>
      <w:r>
        <w:rPr>
          <w:lang w:val="en-GB"/>
        </w:rPr>
        <w:t>CIs</w:t>
      </w:r>
      <w:r w:rsidRPr="00FC6750">
        <w:rPr>
          <w:lang w:val="en-GB"/>
        </w:rPr>
        <w:t xml:space="preserve">, since the </w:t>
      </w:r>
      <w:r>
        <w:rPr>
          <w:lang w:val="en-GB"/>
        </w:rPr>
        <w:t>CDF</w:t>
      </w:r>
      <w:r w:rsidRPr="00FC6750">
        <w:rPr>
          <w:lang w:val="en-GB"/>
        </w:rPr>
        <w:t xml:space="preserve"> is a monotonic non-decreasing function that can be inverted with computational methods. The (1-α) confidence interval of </w:t>
      </w:r>
      <w:r>
        <w:rPr>
          <w:lang w:val="en-GB"/>
        </w:rPr>
        <w:t xml:space="preserve"> </w:t>
      </w:r>
      <w:r w:rsidRPr="000566D5">
        <w:rPr>
          <w:position w:val="-30"/>
          <w:lang w:val="en-GB"/>
        </w:rPr>
        <w:object w:dxaOrig="420" w:dyaOrig="680">
          <v:shape id="_x0000_i1061" type="#_x0000_t75" style="width:21pt;height:33.75pt" o:ole="">
            <v:imagedata r:id="rId81" o:title=""/>
          </v:shape>
          <o:OLEObject Type="Embed" ProgID="Equation.DSMT4" ShapeID="_x0000_i1061" DrawAspect="Content" ObjectID="_1442414787" r:id="rId82"/>
        </w:object>
      </w:r>
      <w:r>
        <w:rPr>
          <w:lang w:val="en-GB"/>
        </w:rPr>
        <w:t>.</w:t>
      </w:r>
      <w:r w:rsidRPr="00FC6750">
        <w:rPr>
          <w:lang w:val="en-GB"/>
        </w:rPr>
        <w:t xml:space="preserve">obtained by inversing the CDF of </w:t>
      </w:r>
      <w:r w:rsidRPr="00FC6750">
        <w:rPr>
          <w:i/>
          <w:iCs/>
          <w:lang w:val="en-GB"/>
        </w:rPr>
        <w:t>W</w:t>
      </w:r>
      <w:r w:rsidRPr="00FC6750">
        <w:rPr>
          <w:lang w:val="en-GB"/>
        </w:rPr>
        <w:t>, is given by</w:t>
      </w:r>
    </w:p>
    <w:p w:rsidR="009D4E9C" w:rsidRPr="00872A65" w:rsidRDefault="009D4E9C" w:rsidP="002A2EFB">
      <w:pPr>
        <w:tabs>
          <w:tab w:val="left" w:pos="3780"/>
        </w:tabs>
        <w:spacing w:line="360" w:lineRule="auto"/>
        <w:rPr>
          <w:lang w:val="en-GB"/>
        </w:rPr>
      </w:pPr>
      <w:r w:rsidRPr="000566D5">
        <w:rPr>
          <w:position w:val="-32"/>
        </w:rPr>
        <w:object w:dxaOrig="3019" w:dyaOrig="760">
          <v:shape id="_x0000_i1062" type="#_x0000_t75" style="width:146.25pt;height:38.25pt" o:ole="">
            <v:imagedata r:id="rId83" o:title=""/>
          </v:shape>
          <o:OLEObject Type="Embed" ProgID="Equation.DSMT4" ShapeID="_x0000_i1062" DrawAspect="Content" ObjectID="_1442414788" r:id="rId84"/>
        </w:object>
      </w:r>
      <w:r w:rsidRPr="00872A65">
        <w:rPr>
          <w:lang w:val="en-GB"/>
        </w:rPr>
        <w:t xml:space="preserve">           </w:t>
      </w:r>
      <w:r>
        <w:rPr>
          <w:lang w:val="en-GB"/>
        </w:rPr>
        <w:t xml:space="preserve">                                                                           (10)</w:t>
      </w:r>
    </w:p>
    <w:p w:rsidR="009D4E9C" w:rsidRPr="00FC6750" w:rsidRDefault="009D4E9C" w:rsidP="002A2EFB">
      <w:pPr>
        <w:spacing w:line="360" w:lineRule="auto"/>
        <w:jc w:val="both"/>
        <w:rPr>
          <w:lang w:val="en-GB"/>
        </w:rPr>
      </w:pPr>
      <w:r w:rsidRPr="00FC6750">
        <w:rPr>
          <w:lang w:val="en-GB"/>
        </w:rPr>
        <w:t xml:space="preserve">where </w:t>
      </w:r>
      <w:r w:rsidRPr="00FC6750">
        <w:rPr>
          <w:position w:val="-12"/>
        </w:rPr>
        <w:object w:dxaOrig="480" w:dyaOrig="360">
          <v:shape id="_x0000_i1063" type="#_x0000_t75" style="width:23.25pt;height:18pt" o:ole="">
            <v:imagedata r:id="rId85" o:title=""/>
          </v:shape>
          <o:OLEObject Type="Embed" ProgID="Equation.DSMT4" ShapeID="_x0000_i1063" DrawAspect="Content" ObjectID="_1442414789" r:id="rId86"/>
        </w:object>
      </w:r>
      <w:r w:rsidRPr="00FC6750">
        <w:rPr>
          <w:lang w:val="en-GB"/>
        </w:rPr>
        <w:t xml:space="preserve"> and </w:t>
      </w:r>
      <w:r w:rsidRPr="00FC6750">
        <w:rPr>
          <w:position w:val="-12"/>
        </w:rPr>
        <w:object w:dxaOrig="620" w:dyaOrig="360">
          <v:shape id="_x0000_i1064" type="#_x0000_t75" style="width:30.75pt;height:18pt" o:ole="">
            <v:imagedata r:id="rId87" o:title=""/>
          </v:shape>
          <o:OLEObject Type="Embed" ProgID="Equation.DSMT4" ShapeID="_x0000_i1064" DrawAspect="Content" ObjectID="_1442414790" r:id="rId88"/>
        </w:object>
      </w:r>
      <w:r w:rsidRPr="00FC6750">
        <w:rPr>
          <w:lang w:val="en-GB"/>
        </w:rPr>
        <w:t xml:space="preserve"> are the estimators (Galeone and Pollastri, 2008) of </w:t>
      </w:r>
      <w:r w:rsidRPr="00FC6750">
        <w:rPr>
          <w:lang w:val="en-GB"/>
        </w:rPr>
        <w:fldChar w:fldCharType="begin"/>
      </w:r>
      <w:r w:rsidRPr="00FC6750">
        <w:rPr>
          <w:lang w:val="en-GB"/>
        </w:rPr>
        <w:instrText xml:space="preserve"> QUOTE </w:instrText>
      </w:r>
      <w:r>
        <w:rPr>
          <w:noProof/>
        </w:rPr>
        <w:pict>
          <v:shape id="Obraz 39" o:spid="_x0000_i1065" type="#_x0000_t75" style="width:28.5pt;height:27pt;visibility:visible">
            <v:imagedata r:id="rId89" o:title="" chromakey="white"/>
          </v:shape>
        </w:pict>
      </w:r>
      <w:r w:rsidRPr="00FC6750">
        <w:rPr>
          <w:lang w:val="en-GB"/>
        </w:rPr>
        <w:instrText xml:space="preserve"> </w:instrText>
      </w:r>
      <w:r w:rsidRPr="00FC6750">
        <w:rPr>
          <w:lang w:val="en-GB"/>
        </w:rPr>
        <w:fldChar w:fldCharType="separate"/>
      </w:r>
      <w:r w:rsidRPr="00872A65">
        <w:rPr>
          <w:position w:val="-26"/>
          <w:lang w:val="en-GB" w:eastAsia="ar-SA"/>
        </w:rPr>
        <w:object w:dxaOrig="600" w:dyaOrig="680">
          <v:shape id="_x0000_i1066" type="#_x0000_t75" style="width:30pt;height:33.75pt" o:ole="">
            <v:imagedata r:id="rId90" o:title=""/>
          </v:shape>
          <o:OLEObject Type="Embed" ProgID="Equation.DSMT4" ShapeID="_x0000_i1066" DrawAspect="Content" ObjectID="_1442414791" r:id="rId91"/>
        </w:object>
      </w:r>
      <w:r w:rsidRPr="00FC6750">
        <w:rPr>
          <w:lang w:val="en-GB"/>
        </w:rPr>
        <w:fldChar w:fldCharType="end"/>
      </w:r>
      <w:r w:rsidRPr="00FC6750">
        <w:rPr>
          <w:lang w:val="en-GB"/>
        </w:rPr>
        <w:t xml:space="preserve"> and the </w:t>
      </w:r>
      <w:r w:rsidRPr="00872A65">
        <w:rPr>
          <w:position w:val="-26"/>
        </w:rPr>
        <w:object w:dxaOrig="859" w:dyaOrig="680">
          <v:shape id="_x0000_i1067" type="#_x0000_t75" style="width:42.75pt;height:33.75pt" o:ole="">
            <v:imagedata r:id="rId92" o:title=""/>
          </v:shape>
          <o:OLEObject Type="Embed" ProgID="Equation.DSMT4" ShapeID="_x0000_i1067" DrawAspect="Content" ObjectID="_1442414792" r:id="rId93"/>
        </w:object>
      </w:r>
      <w:r w:rsidRPr="00FC6750">
        <w:rPr>
          <w:lang w:val="en-GB"/>
        </w:rPr>
        <w:t xml:space="preserve"> quantile of the r</w:t>
      </w:r>
      <w:r>
        <w:rPr>
          <w:lang w:val="en-GB"/>
        </w:rPr>
        <w:t>.</w:t>
      </w:r>
      <w:r w:rsidRPr="00FC6750">
        <w:rPr>
          <w:lang w:val="en-GB"/>
        </w:rPr>
        <w:t>v</w:t>
      </w:r>
      <w:r>
        <w:rPr>
          <w:lang w:val="en-GB"/>
        </w:rPr>
        <w:t>.</w:t>
      </w:r>
      <w:r w:rsidRPr="00FC6750">
        <w:rPr>
          <w:lang w:val="en-GB"/>
        </w:rPr>
        <w:t xml:space="preserve"> </w:t>
      </w:r>
      <w:r w:rsidRPr="00FC6750">
        <w:rPr>
          <w:position w:val="-6"/>
        </w:rPr>
        <w:object w:dxaOrig="279" w:dyaOrig="279">
          <v:shape id="_x0000_i1068" type="#_x0000_t75" style="width:12.75pt;height:14.25pt" o:ole="">
            <v:imagedata r:id="rId94" o:title=""/>
          </v:shape>
          <o:OLEObject Type="Embed" ProgID="Equation.DSMT4" ShapeID="_x0000_i1068" DrawAspect="Content" ObjectID="_1442414793" r:id="rId95"/>
        </w:object>
      </w:r>
      <w:r w:rsidRPr="00FC6750">
        <w:rPr>
          <w:i/>
          <w:iCs/>
          <w:lang w:val="en-GB"/>
        </w:rPr>
        <w:t>.</w:t>
      </w:r>
    </w:p>
    <w:p w:rsidR="009D4E9C" w:rsidRPr="00FC6750" w:rsidRDefault="009D4E9C" w:rsidP="002A2EFB">
      <w:pPr>
        <w:spacing w:line="360" w:lineRule="auto"/>
        <w:jc w:val="both"/>
        <w:rPr>
          <w:lang w:val="en-GB"/>
        </w:rPr>
      </w:pPr>
      <w:r w:rsidRPr="00FC6750">
        <w:rPr>
          <w:lang w:val="en-GB"/>
        </w:rPr>
        <w:t xml:space="preserve">An alternative approach to obtain the </w:t>
      </w:r>
      <w:r>
        <w:rPr>
          <w:lang w:val="en-GB"/>
        </w:rPr>
        <w:t>CI</w:t>
      </w:r>
      <w:r w:rsidRPr="00FC6750">
        <w:rPr>
          <w:lang w:val="en-GB"/>
        </w:rPr>
        <w:t xml:space="preserve"> for the ratio of the means in a bivariate normal distribution was proposed by Fieller (1940; 1954) known as “Fieller’s theorem”. Calculation of the </w:t>
      </w:r>
      <w:r>
        <w:rPr>
          <w:lang w:val="en-GB"/>
        </w:rPr>
        <w:t>CI</w:t>
      </w:r>
      <w:r w:rsidRPr="00FC6750">
        <w:rPr>
          <w:lang w:val="en-GB"/>
        </w:rPr>
        <w:t xml:space="preserve"> is relatively simple and this approach has been used as a touchstone </w:t>
      </w:r>
      <w:r>
        <w:rPr>
          <w:lang w:val="en-GB"/>
        </w:rPr>
        <w:t>by several authors (f.i., see Kendall and Stuart 1972</w:t>
      </w:r>
      <w:r w:rsidRPr="00FC6750">
        <w:rPr>
          <w:lang w:val="en-GB"/>
        </w:rPr>
        <w:t xml:space="preserve">), because of its importance in examining the general techniques for constructing </w:t>
      </w:r>
      <w:r>
        <w:rPr>
          <w:lang w:val="en-GB"/>
        </w:rPr>
        <w:t>CIs</w:t>
      </w:r>
      <w:r w:rsidRPr="00FC6750">
        <w:rPr>
          <w:lang w:val="en-GB"/>
        </w:rPr>
        <w:t xml:space="preserve"> using resampling techniques, such as the jackknife or bootstrapping. However, the existence of a bounded (1-α)% </w:t>
      </w:r>
      <w:r>
        <w:rPr>
          <w:lang w:val="en-GB"/>
        </w:rPr>
        <w:t>CI</w:t>
      </w:r>
      <w:r w:rsidRPr="00FC6750">
        <w:rPr>
          <w:lang w:val="en-GB"/>
        </w:rPr>
        <w:t xml:space="preserve"> for  is not</w:t>
      </w:r>
      <w:r w:rsidRPr="001D040E">
        <w:rPr>
          <w:lang w:val="en-GB"/>
        </w:rPr>
        <w:t xml:space="preserve"> </w:t>
      </w:r>
      <w:r w:rsidRPr="00FC6750">
        <w:rPr>
          <w:lang w:val="en-GB"/>
        </w:rPr>
        <w:t xml:space="preserve"> always guaranteed with Fieller’s theorem and practical interpretation of the results is impossible in these cases. Gardiner at al. </w:t>
      </w:r>
      <w:r w:rsidRPr="00FC6750">
        <w:rPr>
          <w:lang w:val="en-GB"/>
        </w:rPr>
        <w:fldChar w:fldCharType="begin"/>
      </w:r>
      <w:r w:rsidRPr="00FC6750">
        <w:rPr>
          <w:lang w:val="en-GB"/>
        </w:rPr>
        <w:instrText xml:space="preserve"> ADDIN EN.CITE &lt;EndNote&gt;&lt;Cite ExcludeAuth="1"&gt;&lt;Author&gt;Gardiner&lt;/Author&gt;&lt;Year&gt;2001&lt;/Year&gt;&lt;RecNum&gt;79&lt;/RecNum&gt;&lt;record&gt;&lt;rec-number&gt;79&lt;/rec-number&gt;&lt;ref-type name="Journal Article"&gt;17&lt;/ref-type&gt;&lt;contributors&gt;&lt;authors&gt;&lt;author&gt;Gardiner, J. C.&lt;/author&gt;&lt;author&gt;Huebner, M.&lt;/author&gt;&lt;author&gt;Jetton, J.&lt;/author&gt;&lt;author&gt;Bradley, C. J.&lt;/author&gt;&lt;/authors&gt;&lt;/contributors&gt;&lt;titles&gt;&lt;title&gt;On Parametric Confidence Intervals for the Cost-Effectiveness Ratio&lt;/title&gt;&lt;secondary-title&gt;Biometrical Journal&lt;/secondary-title&gt;&lt;/titles&gt;&lt;periodical&gt;&lt;full-title&gt;Biometrical journal&lt;/full-title&gt;&lt;/periodical&gt;&lt;pages&gt;283-296&lt;/pages&gt;&lt;volume&gt;43&lt;/volume&gt;&lt;number&gt;3&lt;/number&gt;&lt;dates&gt;&lt;year&gt;2001&lt;/year&gt;&lt;/dates&gt;&lt;urls&gt;&lt;/urls&gt;&lt;/record&gt;&lt;/Cite&gt;&lt;/EndNote&gt;</w:instrText>
      </w:r>
      <w:r w:rsidRPr="00FC6750">
        <w:rPr>
          <w:lang w:val="en-GB"/>
        </w:rPr>
        <w:fldChar w:fldCharType="separate"/>
      </w:r>
      <w:r w:rsidRPr="00FC6750">
        <w:rPr>
          <w:lang w:val="en-GB"/>
        </w:rPr>
        <w:t>(2001)</w:t>
      </w:r>
      <w:r w:rsidRPr="00FC6750">
        <w:rPr>
          <w:lang w:val="en-GB"/>
        </w:rPr>
        <w:fldChar w:fldCharType="end"/>
      </w:r>
      <w:r w:rsidRPr="00FC6750">
        <w:rPr>
          <w:lang w:val="en-GB"/>
        </w:rPr>
        <w:t xml:space="preserve"> proved that the </w:t>
      </w:r>
      <w:r>
        <w:rPr>
          <w:lang w:val="en-GB"/>
        </w:rPr>
        <w:t>CI</w:t>
      </w:r>
      <w:r w:rsidRPr="00FC6750">
        <w:rPr>
          <w:lang w:val="en-GB"/>
        </w:rPr>
        <w:t xml:space="preserve"> is bounded if, and only if, the estimated</w:t>
      </w:r>
      <w:r>
        <w:rPr>
          <w:lang w:val="en-GB"/>
        </w:rPr>
        <w:t xml:space="preserve"> mean value at denominator</w:t>
      </w:r>
      <w:r w:rsidRPr="00FC6750">
        <w:rPr>
          <w:lang w:val="en-GB"/>
        </w:rPr>
        <w:t xml:space="preserve">  is significantly different from zero at level α. </w:t>
      </w:r>
    </w:p>
    <w:p w:rsidR="009D4E9C" w:rsidRPr="00FC6750" w:rsidRDefault="009D4E9C" w:rsidP="002A2EFB">
      <w:pPr>
        <w:spacing w:line="360" w:lineRule="auto"/>
        <w:jc w:val="both"/>
        <w:rPr>
          <w:position w:val="-20"/>
          <w:lang w:val="en-US"/>
        </w:rPr>
      </w:pPr>
      <w:r w:rsidRPr="00FC6750">
        <w:rPr>
          <w:position w:val="-20"/>
          <w:lang w:val="en-US"/>
        </w:rPr>
        <w:t>Returning to the problem of building the CI for the ICER and remembering that, in the above conditions, it is possible to write</w:t>
      </w:r>
    </w:p>
    <w:p w:rsidR="009D4E9C" w:rsidRPr="00FC6750" w:rsidRDefault="009D4E9C" w:rsidP="002A2EFB">
      <w:pPr>
        <w:spacing w:line="360" w:lineRule="auto"/>
        <w:jc w:val="center"/>
        <w:rPr>
          <w:position w:val="-20"/>
        </w:rPr>
      </w:pPr>
      <w:r w:rsidRPr="00FC6750">
        <w:rPr>
          <w:position w:val="-16"/>
        </w:rPr>
        <w:object w:dxaOrig="3660" w:dyaOrig="440">
          <v:shape id="_x0000_i1069" type="#_x0000_t75" style="width:181.5pt;height:21.75pt" o:ole="">
            <v:imagedata r:id="rId96" o:title=""/>
          </v:shape>
          <o:OLEObject Type="Embed" ProgID="Equation.DSMT4" ShapeID="_x0000_i1069" DrawAspect="Content" ObjectID="_1442414794" r:id="rId97"/>
        </w:object>
      </w:r>
    </w:p>
    <w:p w:rsidR="009D4E9C" w:rsidRPr="00FC6750" w:rsidRDefault="009D4E9C" w:rsidP="002A2EFB">
      <w:pPr>
        <w:spacing w:line="360" w:lineRule="auto"/>
        <w:rPr>
          <w:position w:val="-20"/>
          <w:lang w:val="en-GB"/>
        </w:rPr>
      </w:pPr>
      <w:r w:rsidRPr="00FC6750">
        <w:rPr>
          <w:position w:val="-20"/>
          <w:lang w:val="en-GB"/>
        </w:rPr>
        <w:t>the estimator of the ICER</w:t>
      </w:r>
    </w:p>
    <w:p w:rsidR="009D4E9C" w:rsidRPr="00FC6750" w:rsidRDefault="009D4E9C" w:rsidP="002A2EFB">
      <w:pPr>
        <w:spacing w:line="360" w:lineRule="auto"/>
        <w:jc w:val="center"/>
        <w:rPr>
          <w:position w:val="-30"/>
          <w:lang w:val="en-GB" w:eastAsia="ar-SA"/>
        </w:rPr>
      </w:pPr>
      <w:r>
        <w:rPr>
          <w:lang w:val="en-GB" w:eastAsia="ar-SA"/>
        </w:rPr>
        <w:t xml:space="preserve">                                                                 </w:t>
      </w:r>
      <w:r w:rsidRPr="00FC6750">
        <w:rPr>
          <w:position w:val="-32"/>
          <w:lang w:val="en-GB" w:eastAsia="ar-SA"/>
        </w:rPr>
        <w:object w:dxaOrig="820" w:dyaOrig="780">
          <v:shape id="_x0000_i1070" type="#_x0000_t75" style="width:41.25pt;height:39pt" o:ole="">
            <v:imagedata r:id="rId98" o:title=""/>
          </v:shape>
          <o:OLEObject Type="Embed" ProgID="Equation.DSMT4" ShapeID="_x0000_i1070" DrawAspect="Content" ObjectID="_1442414795" r:id="rId99"/>
        </w:object>
      </w:r>
      <w:r>
        <w:rPr>
          <w:lang w:val="en-GB" w:eastAsia="ar-SA"/>
        </w:rPr>
        <w:t xml:space="preserve">                                                        (11)</w:t>
      </w:r>
    </w:p>
    <w:p w:rsidR="009D4E9C" w:rsidRPr="00FC6750" w:rsidRDefault="009D4E9C" w:rsidP="002A2EFB">
      <w:pPr>
        <w:spacing w:line="360" w:lineRule="auto"/>
        <w:rPr>
          <w:position w:val="-30"/>
          <w:lang w:val="en-GB" w:eastAsia="ar-SA"/>
        </w:rPr>
      </w:pPr>
      <w:r w:rsidRPr="00FC6750">
        <w:rPr>
          <w:position w:val="-30"/>
          <w:lang w:val="en-GB" w:eastAsia="ar-SA"/>
        </w:rPr>
        <w:t>is approximately distributed as a</w:t>
      </w:r>
      <w:r>
        <w:rPr>
          <w:position w:val="-30"/>
          <w:lang w:val="en-GB" w:eastAsia="ar-SA"/>
        </w:rPr>
        <w:t xml:space="preserve"> ratio of two correlated normal r.v.</w:t>
      </w:r>
      <w:r w:rsidRPr="00FC6750">
        <w:rPr>
          <w:position w:val="-30"/>
          <w:lang w:val="en-GB" w:eastAsia="ar-SA"/>
        </w:rPr>
        <w:t xml:space="preserve">. The CDF is indicated by </w:t>
      </w:r>
    </w:p>
    <w:p w:rsidR="009D4E9C" w:rsidRPr="00FC6750" w:rsidRDefault="009D4E9C" w:rsidP="002A2EFB">
      <w:pPr>
        <w:spacing w:line="360" w:lineRule="auto"/>
        <w:jc w:val="center"/>
        <w:rPr>
          <w:position w:val="-30"/>
          <w:lang w:val="en-GB" w:eastAsia="ar-SA"/>
        </w:rPr>
      </w:pPr>
      <w:r w:rsidRPr="00FC6750">
        <w:rPr>
          <w:position w:val="-18"/>
          <w:lang w:val="en-GB" w:eastAsia="ar-SA"/>
        </w:rPr>
        <w:object w:dxaOrig="700" w:dyaOrig="420">
          <v:shape id="_x0000_i1071" type="#_x0000_t75" style="width:35.25pt;height:21pt" o:ole="">
            <v:imagedata r:id="rId100" o:title=""/>
          </v:shape>
          <o:OLEObject Type="Embed" ProgID="Equation.DSMT4" ShapeID="_x0000_i1071" DrawAspect="Content" ObjectID="_1442414796" r:id="rId101"/>
        </w:object>
      </w:r>
    </w:p>
    <w:p w:rsidR="009D4E9C" w:rsidRPr="00FC6750" w:rsidRDefault="009D4E9C" w:rsidP="002A2EFB">
      <w:pPr>
        <w:spacing w:line="360" w:lineRule="auto"/>
        <w:jc w:val="both"/>
        <w:rPr>
          <w:position w:val="-30"/>
          <w:lang w:val="en-GB" w:eastAsia="ar-SA"/>
        </w:rPr>
      </w:pPr>
      <w:r w:rsidRPr="00FC6750">
        <w:rPr>
          <w:position w:val="-30"/>
          <w:lang w:val="en-GB" w:eastAsia="ar-SA"/>
        </w:rPr>
        <w:t xml:space="preserve">It is possible to compute the </w:t>
      </w:r>
      <w:r>
        <w:rPr>
          <w:position w:val="-30"/>
          <w:lang w:val="en-GB" w:eastAsia="ar-SA"/>
        </w:rPr>
        <w:t>CI</w:t>
      </w:r>
      <w:r w:rsidRPr="00FC6750">
        <w:rPr>
          <w:position w:val="-30"/>
          <w:lang w:val="en-GB" w:eastAsia="ar-SA"/>
        </w:rPr>
        <w:t xml:space="preserve"> as follows</w:t>
      </w:r>
      <w:r>
        <w:rPr>
          <w:position w:val="-30"/>
          <w:lang w:val="en-GB" w:eastAsia="ar-SA"/>
        </w:rPr>
        <w:t>:</w:t>
      </w:r>
    </w:p>
    <w:p w:rsidR="009D4E9C" w:rsidRPr="00FC6750" w:rsidRDefault="009D4E9C" w:rsidP="002A2EFB">
      <w:pPr>
        <w:spacing w:line="360" w:lineRule="auto"/>
        <w:jc w:val="center"/>
        <w:rPr>
          <w:position w:val="-30"/>
          <w:lang w:val="en-GB" w:eastAsia="ar-SA"/>
        </w:rPr>
      </w:pPr>
      <w:r>
        <w:rPr>
          <w:lang w:val="en-GB" w:eastAsia="ar-SA"/>
        </w:rPr>
        <w:t xml:space="preserve">                              </w:t>
      </w:r>
      <w:r w:rsidRPr="002340FB">
        <w:rPr>
          <w:position w:val="-18"/>
          <w:lang w:val="en-GB" w:eastAsia="ar-SA"/>
        </w:rPr>
        <w:object w:dxaOrig="3900" w:dyaOrig="480">
          <v:shape id="_x0000_i1072" type="#_x0000_t75" style="width:195pt;height:24pt" o:ole="">
            <v:imagedata r:id="rId102" o:title=""/>
          </v:shape>
          <o:OLEObject Type="Embed" ProgID="Equation.DSMT4" ShapeID="_x0000_i1072" DrawAspect="Content" ObjectID="_1442414797" r:id="rId103"/>
        </w:object>
      </w:r>
      <w:r>
        <w:rPr>
          <w:lang w:val="en-GB" w:eastAsia="ar-SA"/>
        </w:rPr>
        <w:t xml:space="preserve">                                 (12)</w:t>
      </w:r>
    </w:p>
    <w:p w:rsidR="009D4E9C" w:rsidRPr="00FC6750" w:rsidRDefault="009D4E9C" w:rsidP="002A2EFB">
      <w:pPr>
        <w:spacing w:line="360" w:lineRule="auto"/>
        <w:rPr>
          <w:position w:val="-30"/>
          <w:lang w:val="en-GB" w:eastAsia="ar-SA"/>
        </w:rPr>
      </w:pPr>
      <w:r w:rsidRPr="00FC6750">
        <w:rPr>
          <w:position w:val="-30"/>
          <w:lang w:val="en-GB" w:eastAsia="ar-SA"/>
        </w:rPr>
        <w:t>where</w:t>
      </w:r>
    </w:p>
    <w:p w:rsidR="009D4E9C" w:rsidRPr="00FC6750" w:rsidRDefault="009D4E9C" w:rsidP="002A2EFB">
      <w:pPr>
        <w:spacing w:line="360" w:lineRule="auto"/>
        <w:jc w:val="center"/>
        <w:rPr>
          <w:position w:val="-30"/>
          <w:lang w:val="en-GB" w:eastAsia="ar-SA"/>
        </w:rPr>
      </w:pPr>
      <w:r w:rsidRPr="00FC6750">
        <w:rPr>
          <w:position w:val="-14"/>
          <w:lang w:val="en-GB" w:eastAsia="ar-SA"/>
        </w:rPr>
        <w:object w:dxaOrig="2780" w:dyaOrig="440">
          <v:shape id="_x0000_i1073" type="#_x0000_t75" style="width:136.5pt;height:21.75pt" o:ole="">
            <v:imagedata r:id="rId104" o:title=""/>
          </v:shape>
          <o:OLEObject Type="Embed" ProgID="Equation.DSMT4" ShapeID="_x0000_i1073" DrawAspect="Content" ObjectID="_1442414798" r:id="rId105"/>
        </w:object>
      </w:r>
    </w:p>
    <w:p w:rsidR="009D4E9C" w:rsidRPr="00FC6750" w:rsidRDefault="009D4E9C" w:rsidP="002A2EFB">
      <w:pPr>
        <w:spacing w:line="360" w:lineRule="auto"/>
        <w:rPr>
          <w:position w:val="-30"/>
          <w:lang w:val="en-GB" w:eastAsia="ar-SA"/>
        </w:rPr>
      </w:pPr>
      <w:r w:rsidRPr="00FC6750">
        <w:rPr>
          <w:position w:val="-30"/>
          <w:lang w:val="en-GB" w:eastAsia="ar-SA"/>
        </w:rPr>
        <w:t>are the quantiles of the ratio of two correlated n</w:t>
      </w:r>
      <w:r>
        <w:rPr>
          <w:position w:val="-30"/>
          <w:lang w:val="en-GB" w:eastAsia="ar-SA"/>
        </w:rPr>
        <w:t>ormal r.v.</w:t>
      </w:r>
      <w:r w:rsidRPr="00FC6750">
        <w:rPr>
          <w:position w:val="-30"/>
          <w:lang w:val="en-GB" w:eastAsia="ar-SA"/>
        </w:rPr>
        <w:t>.</w:t>
      </w:r>
    </w:p>
    <w:p w:rsidR="009D4E9C" w:rsidRDefault="009D4E9C" w:rsidP="002A2EFB">
      <w:pPr>
        <w:spacing w:line="360" w:lineRule="auto"/>
        <w:jc w:val="both"/>
        <w:rPr>
          <w:lang w:val="en-GB"/>
        </w:rPr>
      </w:pPr>
      <w:r w:rsidRPr="00FC6750">
        <w:rPr>
          <w:lang w:val="en-GB"/>
        </w:rPr>
        <w:t>The procedures and functions for constructing confidence intervals using the exact distribution method may be implemented using, for instance, Matl</w:t>
      </w:r>
      <w:r>
        <w:rPr>
          <w:lang w:val="en-GB"/>
        </w:rPr>
        <w:t>ab (Galeone, Pollastri, 2012) or R code (De Capitani, Pollastri, 2012) or Fortran+IMSL.</w:t>
      </w:r>
    </w:p>
    <w:p w:rsidR="009D4E9C" w:rsidRDefault="009D4E9C" w:rsidP="002A2EFB">
      <w:pPr>
        <w:spacing w:line="360" w:lineRule="auto"/>
        <w:jc w:val="both"/>
        <w:rPr>
          <w:lang w:val="en-GB"/>
        </w:rPr>
      </w:pPr>
    </w:p>
    <w:p w:rsidR="009D4E9C" w:rsidRPr="00B542A0" w:rsidRDefault="009D4E9C" w:rsidP="002A2EFB">
      <w:pPr>
        <w:pStyle w:val="Heading1"/>
        <w:spacing w:before="0" w:after="0" w:line="360" w:lineRule="auto"/>
        <w:rPr>
          <w:rFonts w:ascii="Times New Roman" w:hAnsi="Times New Roman" w:cs="Times New Roman"/>
          <w:sz w:val="28"/>
          <w:szCs w:val="28"/>
          <w:lang w:val="en-US"/>
        </w:rPr>
      </w:pPr>
      <w:r w:rsidRPr="00B542A0">
        <w:rPr>
          <w:rFonts w:ascii="Times New Roman" w:hAnsi="Times New Roman" w:cs="Times New Roman"/>
          <w:sz w:val="28"/>
          <w:szCs w:val="28"/>
          <w:lang w:val="en-US"/>
        </w:rPr>
        <w:t>CONCLUDING REMARKS</w:t>
      </w:r>
    </w:p>
    <w:p w:rsidR="009D4E9C" w:rsidRDefault="009D4E9C" w:rsidP="002A2EFB">
      <w:pPr>
        <w:spacing w:line="360" w:lineRule="auto"/>
        <w:jc w:val="both"/>
        <w:rPr>
          <w:color w:val="000000"/>
          <w:sz w:val="22"/>
          <w:szCs w:val="22"/>
          <w:lang w:val="en-US"/>
        </w:rPr>
      </w:pPr>
      <w:r>
        <w:rPr>
          <w:color w:val="000000"/>
          <w:lang w:val="en-US"/>
        </w:rPr>
        <w:t xml:space="preserve">The calculation of the CI for the ICER is fundamental </w:t>
      </w:r>
      <w:r w:rsidRPr="00FC6750">
        <w:rPr>
          <w:color w:val="000000"/>
          <w:lang w:val="en-US"/>
        </w:rPr>
        <w:t>to take</w:t>
      </w:r>
      <w:r>
        <w:rPr>
          <w:color w:val="000000"/>
          <w:lang w:val="en-US"/>
        </w:rPr>
        <w:t xml:space="preserve"> into account </w:t>
      </w:r>
      <w:r w:rsidRPr="00FC6750">
        <w:rPr>
          <w:color w:val="000000"/>
          <w:lang w:val="en-US"/>
        </w:rPr>
        <w:t>the uncertainty due to differences in samples</w:t>
      </w:r>
      <w:r>
        <w:rPr>
          <w:color w:val="000000"/>
          <w:lang w:val="en-US"/>
        </w:rPr>
        <w:t xml:space="preserve">. </w:t>
      </w:r>
      <w:r>
        <w:rPr>
          <w:color w:val="000000"/>
          <w:sz w:val="22"/>
          <w:szCs w:val="22"/>
          <w:lang w:val="en-US"/>
        </w:rPr>
        <w:t xml:space="preserve">The new parametric </w:t>
      </w:r>
      <w:r w:rsidRPr="00673150">
        <w:rPr>
          <w:color w:val="000000"/>
          <w:sz w:val="22"/>
          <w:szCs w:val="22"/>
          <w:lang w:val="en-US"/>
        </w:rPr>
        <w:t xml:space="preserve">technique for construction of </w:t>
      </w:r>
      <w:r>
        <w:rPr>
          <w:color w:val="000000"/>
          <w:sz w:val="22"/>
          <w:szCs w:val="22"/>
          <w:lang w:val="en-US"/>
        </w:rPr>
        <w:t xml:space="preserve">CIs for ICER here presented  is based on the same </w:t>
      </w:r>
      <w:r>
        <w:rPr>
          <w:lang w:val="en-GB"/>
        </w:rPr>
        <w:t>parametric assumptions</w:t>
      </w:r>
      <w:r>
        <w:rPr>
          <w:color w:val="000000"/>
          <w:sz w:val="22"/>
          <w:szCs w:val="22"/>
          <w:lang w:val="en-US"/>
        </w:rPr>
        <w:t xml:space="preserve"> of the Fieller method.  </w:t>
      </w:r>
    </w:p>
    <w:p w:rsidR="009D4E9C" w:rsidRDefault="009D4E9C" w:rsidP="002A2EFB">
      <w:pPr>
        <w:spacing w:line="360" w:lineRule="auto"/>
        <w:jc w:val="both"/>
        <w:rPr>
          <w:lang w:val="en-GB"/>
        </w:rPr>
      </w:pPr>
      <w:r>
        <w:rPr>
          <w:color w:val="000000"/>
          <w:sz w:val="22"/>
          <w:szCs w:val="22"/>
          <w:lang w:val="en-US"/>
        </w:rPr>
        <w:t xml:space="preserve">Even if the Fieller method is easier from a computational point of view as compared to the new one, when the </w:t>
      </w:r>
      <w:r w:rsidRPr="00673150">
        <w:rPr>
          <w:color w:val="000000"/>
          <w:sz w:val="22"/>
          <w:szCs w:val="22"/>
          <w:lang w:val="en-US"/>
        </w:rPr>
        <w:t xml:space="preserve">incremental effectiveness is </w:t>
      </w:r>
      <w:r>
        <w:rPr>
          <w:color w:val="000000"/>
          <w:sz w:val="22"/>
          <w:szCs w:val="22"/>
          <w:lang w:val="en-US"/>
        </w:rPr>
        <w:t xml:space="preserve">closed to zero the CIs obtained with the Fieller method are not </w:t>
      </w:r>
      <w:r w:rsidRPr="00673150">
        <w:rPr>
          <w:color w:val="000000"/>
          <w:sz w:val="22"/>
          <w:szCs w:val="22"/>
          <w:lang w:val="en-US"/>
        </w:rPr>
        <w:t>bounded</w:t>
      </w:r>
      <w:r>
        <w:rPr>
          <w:color w:val="000000"/>
          <w:sz w:val="22"/>
          <w:szCs w:val="22"/>
          <w:lang w:val="en-US"/>
        </w:rPr>
        <w:t xml:space="preserve"> and for this reason this method is not always relevant. </w:t>
      </w:r>
      <w:r w:rsidRPr="00FC6750">
        <w:rPr>
          <w:lang w:val="en-GB"/>
        </w:rPr>
        <w:t xml:space="preserve">The procedures and functions for constructing </w:t>
      </w:r>
      <w:r>
        <w:rPr>
          <w:lang w:val="en-GB"/>
        </w:rPr>
        <w:t xml:space="preserve">CIs with this new parametric method are already available in </w:t>
      </w:r>
      <w:r w:rsidRPr="00FC6750">
        <w:rPr>
          <w:lang w:val="en-GB"/>
        </w:rPr>
        <w:t>Matl</w:t>
      </w:r>
      <w:r>
        <w:rPr>
          <w:lang w:val="en-GB"/>
        </w:rPr>
        <w:t>ab and R code as indicated before.</w:t>
      </w:r>
    </w:p>
    <w:p w:rsidR="009D4E9C" w:rsidRDefault="009D4E9C" w:rsidP="002A2EFB">
      <w:pPr>
        <w:spacing w:line="360" w:lineRule="auto"/>
        <w:jc w:val="both"/>
        <w:rPr>
          <w:lang w:val="en-GB"/>
        </w:rPr>
      </w:pPr>
      <w:r w:rsidRPr="00FC6750">
        <w:rPr>
          <w:lang w:val="en-GB"/>
        </w:rPr>
        <w:t>Any decision about a new intervention</w:t>
      </w:r>
      <w:r>
        <w:rPr>
          <w:lang w:val="en-GB"/>
        </w:rPr>
        <w:t xml:space="preserve"> must also be qualitative. The choice between two interventions</w:t>
      </w:r>
      <w:r w:rsidRPr="00FC6750">
        <w:rPr>
          <w:lang w:val="en-GB"/>
        </w:rPr>
        <w:t xml:space="preserve"> is very often sensitive, because there are also ethical considerations involved in people’s health and solving social problems. Sustainability of the new intervention must be considere</w:t>
      </w:r>
      <w:r>
        <w:rPr>
          <w:lang w:val="en-GB"/>
        </w:rPr>
        <w:t>d very carefully. T</w:t>
      </w:r>
      <w:r w:rsidRPr="00FC6750">
        <w:rPr>
          <w:lang w:val="en-GB"/>
        </w:rPr>
        <w:t>he new policy must be discussed by the maximum experts in the field of intervention in order to arrive at a decision based on collective responsibility</w:t>
      </w:r>
    </w:p>
    <w:p w:rsidR="009D4E9C" w:rsidRPr="00FC6750" w:rsidRDefault="009D4E9C" w:rsidP="002A2EFB">
      <w:pPr>
        <w:spacing w:line="360" w:lineRule="auto"/>
        <w:jc w:val="both"/>
        <w:rPr>
          <w:lang w:val="en-GB"/>
        </w:rPr>
      </w:pPr>
      <w:r>
        <w:rPr>
          <w:lang w:val="en-GB"/>
        </w:rPr>
        <w:t>considering also the value of the ICER and of its uncertainty.</w:t>
      </w:r>
    </w:p>
    <w:p w:rsidR="009D4E9C" w:rsidRDefault="009D4E9C" w:rsidP="002A2EFB">
      <w:pPr>
        <w:spacing w:line="360" w:lineRule="auto"/>
        <w:jc w:val="both"/>
        <w:rPr>
          <w:lang w:val="en-GB"/>
        </w:rPr>
      </w:pPr>
    </w:p>
    <w:p w:rsidR="009D4E9C" w:rsidRPr="00FD4FB7" w:rsidRDefault="009D4E9C" w:rsidP="002A2EFB">
      <w:pPr>
        <w:spacing w:line="360" w:lineRule="auto"/>
        <w:jc w:val="both"/>
        <w:rPr>
          <w:color w:val="000000"/>
          <w:sz w:val="22"/>
          <w:szCs w:val="22"/>
          <w:lang w:val="en-US"/>
        </w:rPr>
      </w:pPr>
    </w:p>
    <w:p w:rsidR="009D4E9C" w:rsidRPr="00FD4FB7" w:rsidRDefault="009D4E9C" w:rsidP="002A2EFB">
      <w:pPr>
        <w:spacing w:line="360" w:lineRule="auto"/>
        <w:jc w:val="both"/>
        <w:rPr>
          <w:color w:val="000000"/>
          <w:sz w:val="22"/>
          <w:szCs w:val="22"/>
          <w:lang w:val="en-GB"/>
        </w:rPr>
      </w:pPr>
    </w:p>
    <w:p w:rsidR="009D4E9C" w:rsidRDefault="009D4E9C" w:rsidP="002A2EFB">
      <w:pPr>
        <w:spacing w:line="360" w:lineRule="auto"/>
        <w:jc w:val="both"/>
        <w:rPr>
          <w:b/>
          <w:sz w:val="28"/>
          <w:szCs w:val="28"/>
          <w:u w:val="single"/>
          <w:lang w:val="en-US"/>
        </w:rPr>
      </w:pPr>
      <w:r w:rsidRPr="006F5A42">
        <w:rPr>
          <w:sz w:val="28"/>
          <w:szCs w:val="28"/>
          <w:lang w:val="en-US"/>
        </w:rPr>
        <w:t xml:space="preserve"> </w:t>
      </w:r>
      <w:r>
        <w:rPr>
          <w:b/>
          <w:sz w:val="28"/>
          <w:szCs w:val="28"/>
          <w:u w:val="single"/>
          <w:lang w:val="en-US"/>
        </w:rPr>
        <w:t>REFERENCES</w:t>
      </w:r>
    </w:p>
    <w:p w:rsidR="009D4E9C" w:rsidRDefault="009D4E9C" w:rsidP="002A2EFB">
      <w:pPr>
        <w:spacing w:line="360" w:lineRule="auto"/>
        <w:rPr>
          <w:b/>
          <w:sz w:val="28"/>
          <w:szCs w:val="28"/>
          <w:u w:val="single"/>
          <w:lang w:val="en-US"/>
        </w:rPr>
      </w:pPr>
    </w:p>
    <w:p w:rsidR="009D4E9C" w:rsidRPr="00655B47" w:rsidRDefault="009D4E9C" w:rsidP="002A2EFB">
      <w:pPr>
        <w:spacing w:line="360" w:lineRule="auto"/>
        <w:jc w:val="both"/>
        <w:rPr>
          <w:lang w:val="en-US"/>
        </w:rPr>
      </w:pPr>
      <w:r w:rsidRPr="00FC6750">
        <w:rPr>
          <w:lang w:val="en-US"/>
        </w:rPr>
        <w:t xml:space="preserve">Aroian L. A., </w:t>
      </w:r>
      <w:r w:rsidRPr="00FC6750">
        <w:rPr>
          <w:i/>
          <w:lang w:val="en-US"/>
        </w:rPr>
        <w:t>The distribution of the quotient of  two correlated random variables</w:t>
      </w:r>
      <w:r w:rsidRPr="00FC6750">
        <w:rPr>
          <w:lang w:val="en-US"/>
        </w:rPr>
        <w:t xml:space="preserve">, </w:t>
      </w:r>
      <w:r w:rsidRPr="00FC6750">
        <w:rPr>
          <w:i/>
          <w:lang w:val="en-US"/>
        </w:rPr>
        <w:t xml:space="preserve">“Proceedings of the Am. Stat. Ass. </w:t>
      </w:r>
      <w:r w:rsidRPr="00655B47">
        <w:rPr>
          <w:i/>
          <w:lang w:val="en-US"/>
        </w:rPr>
        <w:t>Business and Economic Section”</w:t>
      </w:r>
      <w:r w:rsidRPr="00655B47">
        <w:rPr>
          <w:lang w:val="en-US"/>
        </w:rPr>
        <w:t>, 1986.</w:t>
      </w:r>
    </w:p>
    <w:p w:rsidR="009D4E9C" w:rsidRPr="00655B47" w:rsidRDefault="009D4E9C" w:rsidP="002A2EFB">
      <w:pPr>
        <w:spacing w:line="360" w:lineRule="auto"/>
        <w:jc w:val="both"/>
        <w:rPr>
          <w:lang w:val="en-US"/>
        </w:rPr>
      </w:pPr>
      <w:r w:rsidRPr="00655B47">
        <w:rPr>
          <w:lang w:val="en-US"/>
        </w:rPr>
        <w:t xml:space="preserve">Brenna A., </w:t>
      </w:r>
      <w:r w:rsidRPr="00655B47">
        <w:rPr>
          <w:i/>
          <w:lang w:val="en-US"/>
        </w:rPr>
        <w:t>Manuale di Economia sanitaria</w:t>
      </w:r>
      <w:r w:rsidRPr="00655B47">
        <w:rPr>
          <w:lang w:val="en-US"/>
        </w:rPr>
        <w:t>, CIS Editore, Milano, 2003.</w:t>
      </w:r>
    </w:p>
    <w:p w:rsidR="009D4E9C" w:rsidRPr="00FC6750" w:rsidRDefault="009D4E9C" w:rsidP="002A2EFB">
      <w:pPr>
        <w:spacing w:line="360" w:lineRule="auto"/>
        <w:jc w:val="both"/>
        <w:rPr>
          <w:lang w:val="en-US"/>
        </w:rPr>
      </w:pPr>
      <w:r w:rsidRPr="00FC6750">
        <w:rPr>
          <w:lang w:val="en-US"/>
        </w:rPr>
        <w:t xml:space="preserve">Chaudary M. A., Sally C. S., </w:t>
      </w:r>
      <w:r w:rsidRPr="00FC6750">
        <w:rPr>
          <w:i/>
          <w:lang w:val="en-US"/>
        </w:rPr>
        <w:t>Estimating confidence intervals for cost-effectiveness ratios: an example from a randomized trial</w:t>
      </w:r>
      <w:r w:rsidRPr="00FC6750">
        <w:rPr>
          <w:lang w:val="en-US"/>
        </w:rPr>
        <w:t xml:space="preserve">, </w:t>
      </w:r>
      <w:r w:rsidRPr="00FC6750">
        <w:rPr>
          <w:i/>
          <w:lang w:val="en-US"/>
        </w:rPr>
        <w:t>“Statistics in Medicine”</w:t>
      </w:r>
      <w:r w:rsidRPr="00FC6750">
        <w:rPr>
          <w:lang w:val="en-US"/>
        </w:rPr>
        <w:t>, 1447-1458, 1996</w:t>
      </w:r>
      <w:r>
        <w:rPr>
          <w:lang w:val="en-US"/>
        </w:rPr>
        <w:t>, nr 15.</w:t>
      </w:r>
    </w:p>
    <w:p w:rsidR="009D4E9C" w:rsidRPr="00FC6750" w:rsidRDefault="009D4E9C" w:rsidP="002A2EFB">
      <w:pPr>
        <w:spacing w:line="360" w:lineRule="auto"/>
        <w:jc w:val="both"/>
        <w:rPr>
          <w:lang w:val="en-US"/>
        </w:rPr>
      </w:pPr>
      <w:r w:rsidRPr="00FC6750">
        <w:rPr>
          <w:lang w:val="en-US"/>
        </w:rPr>
        <w:t xml:space="preserve">Cochran W. C., </w:t>
      </w:r>
      <w:r w:rsidRPr="00FC6750">
        <w:rPr>
          <w:i/>
          <w:lang w:val="en-US"/>
        </w:rPr>
        <w:t>Sampling Techniques</w:t>
      </w:r>
      <w:r w:rsidRPr="00FC6750">
        <w:rPr>
          <w:lang w:val="en-US"/>
        </w:rPr>
        <w:t>, John Wiley and Sons, New York, III ed., 1997</w:t>
      </w:r>
      <w:r>
        <w:rPr>
          <w:lang w:val="en-US"/>
        </w:rPr>
        <w:t>.</w:t>
      </w:r>
    </w:p>
    <w:p w:rsidR="009D4E9C" w:rsidRPr="00FC6750" w:rsidRDefault="009D4E9C" w:rsidP="002A2EFB">
      <w:pPr>
        <w:spacing w:line="360" w:lineRule="auto"/>
        <w:jc w:val="both"/>
        <w:rPr>
          <w:bCs/>
          <w:color w:val="0D0D0D"/>
          <w:lang w:val="en-US"/>
        </w:rPr>
      </w:pPr>
      <w:r w:rsidRPr="00FC6750">
        <w:rPr>
          <w:bCs/>
          <w:color w:val="0D0D0D"/>
          <w:lang w:val="en-US"/>
        </w:rPr>
        <w:t xml:space="preserve">De Capitani L., Pollastri A., </w:t>
      </w:r>
      <w:r w:rsidRPr="00FC6750">
        <w:rPr>
          <w:bCs/>
          <w:i/>
          <w:color w:val="0D0D0D"/>
          <w:lang w:val="en-US"/>
        </w:rPr>
        <w:t>The R-code for computing the CDF and the df of the ratio of two correlated Normal rv</w:t>
      </w:r>
      <w:r w:rsidRPr="00FC6750">
        <w:rPr>
          <w:bCs/>
          <w:color w:val="0D0D0D"/>
          <w:lang w:val="en-US"/>
        </w:rPr>
        <w:t>,</w:t>
      </w:r>
      <w:r w:rsidRPr="00FC6750">
        <w:rPr>
          <w:bCs/>
          <w:lang w:val="en-US"/>
        </w:rPr>
        <w:t xml:space="preserve"> </w:t>
      </w:r>
      <w:r w:rsidRPr="00FC6750">
        <w:rPr>
          <w:bCs/>
          <w:i/>
          <w:lang w:val="en-US"/>
        </w:rPr>
        <w:t>“Working paper n. 234 Dipartimento Statistica e Metodi Quantitativi Università Milano-Bicocca”</w:t>
      </w:r>
      <w:r w:rsidRPr="00FC6750">
        <w:rPr>
          <w:bCs/>
          <w:lang w:val="en-US"/>
        </w:rPr>
        <w:t>, 2012</w:t>
      </w:r>
      <w:r>
        <w:rPr>
          <w:bCs/>
          <w:lang w:val="en-US"/>
        </w:rPr>
        <w:t>.</w:t>
      </w:r>
    </w:p>
    <w:p w:rsidR="009D4E9C" w:rsidRPr="00FC6750" w:rsidRDefault="009D4E9C" w:rsidP="002A2EFB">
      <w:pPr>
        <w:spacing w:line="360" w:lineRule="auto"/>
        <w:jc w:val="both"/>
        <w:rPr>
          <w:lang w:val="en-US"/>
        </w:rPr>
      </w:pPr>
      <w:r w:rsidRPr="00FC6750">
        <w:rPr>
          <w:lang w:val="en-US"/>
        </w:rPr>
        <w:t xml:space="preserve">Fieller E. C., </w:t>
      </w:r>
      <w:r w:rsidRPr="00FC6750">
        <w:rPr>
          <w:i/>
          <w:lang w:val="en-US"/>
        </w:rPr>
        <w:t>The distribution of the index in a normal bivariate population</w:t>
      </w:r>
      <w:r w:rsidRPr="00FC6750">
        <w:rPr>
          <w:lang w:val="en-US"/>
        </w:rPr>
        <w:t xml:space="preserve">, </w:t>
      </w:r>
      <w:r w:rsidRPr="00FC6750">
        <w:rPr>
          <w:i/>
          <w:lang w:val="en-US"/>
        </w:rPr>
        <w:t>“Biometrika”</w:t>
      </w:r>
      <w:r w:rsidRPr="00FC6750">
        <w:rPr>
          <w:lang w:val="en-US"/>
        </w:rPr>
        <w:t xml:space="preserve"> 24 (3/4), 428-440, 1932</w:t>
      </w:r>
      <w:r>
        <w:rPr>
          <w:lang w:val="en-US"/>
        </w:rPr>
        <w:t>, nr 24(3/4).</w:t>
      </w:r>
    </w:p>
    <w:p w:rsidR="009D4E9C" w:rsidRPr="00FC6750" w:rsidRDefault="009D4E9C" w:rsidP="002A2EFB">
      <w:pPr>
        <w:spacing w:line="360" w:lineRule="auto"/>
        <w:jc w:val="both"/>
        <w:rPr>
          <w:lang w:val="en-US"/>
        </w:rPr>
      </w:pPr>
      <w:r w:rsidRPr="00FC6750">
        <w:rPr>
          <w:lang w:val="en-US"/>
        </w:rPr>
        <w:t xml:space="preserve">Fieller E. C., </w:t>
      </w:r>
      <w:r w:rsidRPr="00FC6750">
        <w:rPr>
          <w:i/>
          <w:lang w:val="en-US"/>
        </w:rPr>
        <w:t>Some problems in interval estimation</w:t>
      </w:r>
      <w:r w:rsidRPr="00FC6750">
        <w:rPr>
          <w:lang w:val="en-US"/>
        </w:rPr>
        <w:t xml:space="preserve">, </w:t>
      </w:r>
      <w:r w:rsidRPr="00FC6750">
        <w:rPr>
          <w:i/>
          <w:lang w:val="en-US"/>
        </w:rPr>
        <w:t>“Journal of the Royal Statistical Society”</w:t>
      </w:r>
      <w:r w:rsidRPr="00FC6750">
        <w:rPr>
          <w:lang w:val="en-US"/>
        </w:rPr>
        <w:t>, Series B (Methodological) 16 (2), 175-185, 1954</w:t>
      </w:r>
      <w:r>
        <w:rPr>
          <w:lang w:val="en-US"/>
        </w:rPr>
        <w:t xml:space="preserve"> ,nr 16(2).</w:t>
      </w:r>
    </w:p>
    <w:p w:rsidR="009D4E9C" w:rsidRPr="00FC6750" w:rsidRDefault="009D4E9C" w:rsidP="002A2EFB">
      <w:pPr>
        <w:pStyle w:val="Author0"/>
        <w:spacing w:line="360" w:lineRule="auto"/>
        <w:jc w:val="both"/>
        <w:rPr>
          <w:sz w:val="24"/>
          <w:szCs w:val="24"/>
          <w:lang w:val="en-GB"/>
        </w:rPr>
      </w:pPr>
      <w:r w:rsidRPr="00FC6750">
        <w:rPr>
          <w:sz w:val="24"/>
          <w:szCs w:val="24"/>
          <w:lang w:val="en-US"/>
        </w:rPr>
        <w:t xml:space="preserve">Galeone C., </w:t>
      </w:r>
      <w:r w:rsidRPr="00FC6750">
        <w:rPr>
          <w:i/>
          <w:sz w:val="24"/>
          <w:szCs w:val="24"/>
          <w:lang w:val="en-US"/>
        </w:rPr>
        <w:t>On the ratio of two normal random variables, jointly distributed as a bivariate normal</w:t>
      </w:r>
      <w:r w:rsidRPr="00FC6750">
        <w:rPr>
          <w:sz w:val="24"/>
          <w:szCs w:val="24"/>
          <w:lang w:val="en-US"/>
        </w:rPr>
        <w:t xml:space="preserve">, </w:t>
      </w:r>
      <w:r w:rsidRPr="00FC6750">
        <w:rPr>
          <w:i/>
          <w:sz w:val="24"/>
          <w:szCs w:val="24"/>
          <w:lang w:val="en-US"/>
        </w:rPr>
        <w:t>“Phd Th</w:t>
      </w:r>
      <w:r w:rsidRPr="00FC6750">
        <w:rPr>
          <w:i/>
          <w:sz w:val="24"/>
          <w:szCs w:val="24"/>
          <w:lang w:val="en-GB"/>
        </w:rPr>
        <w:t>esis”</w:t>
      </w:r>
      <w:r w:rsidRPr="00FC6750">
        <w:rPr>
          <w:sz w:val="24"/>
          <w:szCs w:val="24"/>
          <w:lang w:val="en-GB"/>
        </w:rPr>
        <w:t>, Università degli Studi di Milano-Bicocca, 2007</w:t>
      </w:r>
      <w:r>
        <w:rPr>
          <w:sz w:val="24"/>
          <w:szCs w:val="24"/>
          <w:lang w:val="en-GB"/>
        </w:rPr>
        <w:t>.</w:t>
      </w:r>
    </w:p>
    <w:p w:rsidR="009D4E9C" w:rsidRPr="00FC6750" w:rsidRDefault="009D4E9C" w:rsidP="002A2EFB">
      <w:pPr>
        <w:spacing w:line="360" w:lineRule="auto"/>
        <w:jc w:val="both"/>
        <w:rPr>
          <w:lang w:val="en-US"/>
        </w:rPr>
      </w:pPr>
      <w:r w:rsidRPr="00FC6750">
        <w:rPr>
          <w:lang w:val="en-US"/>
        </w:rPr>
        <w:t xml:space="preserve">Galeone C., Pollastri A., </w:t>
      </w:r>
      <w:r w:rsidRPr="00FC6750">
        <w:rPr>
          <w:i/>
          <w:lang w:val="en-US"/>
        </w:rPr>
        <w:t>Estimation of the quantiles of the ratio of two correlated normals</w:t>
      </w:r>
      <w:r w:rsidRPr="00FC6750">
        <w:rPr>
          <w:lang w:val="en-US"/>
        </w:rPr>
        <w:t xml:space="preserve">, </w:t>
      </w:r>
      <w:r w:rsidRPr="00FC6750">
        <w:rPr>
          <w:i/>
          <w:lang w:val="en-US"/>
        </w:rPr>
        <w:t>“</w:t>
      </w:r>
      <w:r>
        <w:rPr>
          <w:i/>
          <w:lang w:val="en-US"/>
        </w:rPr>
        <w:t xml:space="preserve">Proceedings of </w:t>
      </w:r>
      <w:r w:rsidRPr="00FC6750">
        <w:rPr>
          <w:i/>
          <w:lang w:val="en-US"/>
        </w:rPr>
        <w:t>XLIV Riunione scientifica della Società Italiana di Statistica”</w:t>
      </w:r>
      <w:r w:rsidRPr="00FC6750">
        <w:rPr>
          <w:lang w:val="en-US"/>
        </w:rPr>
        <w:t>, 2008</w:t>
      </w:r>
      <w:r>
        <w:rPr>
          <w:lang w:val="en-US"/>
        </w:rPr>
        <w:t>.</w:t>
      </w:r>
    </w:p>
    <w:p w:rsidR="009D4E9C" w:rsidRPr="00FC6750" w:rsidRDefault="009D4E9C" w:rsidP="002A2EFB">
      <w:pPr>
        <w:spacing w:line="360" w:lineRule="auto"/>
        <w:jc w:val="both"/>
        <w:rPr>
          <w:lang w:val="en-US"/>
        </w:rPr>
      </w:pPr>
      <w:r w:rsidRPr="00FC6750">
        <w:rPr>
          <w:lang w:val="en-US"/>
        </w:rPr>
        <w:t xml:space="preserve">Galeone C., Pollastri A., </w:t>
      </w:r>
      <w:r w:rsidRPr="00FC6750">
        <w:rPr>
          <w:i/>
          <w:lang w:val="en-US"/>
        </w:rPr>
        <w:t>Confidence intervals for the ratio of two means using the distribution of the quotient of two normals</w:t>
      </w:r>
      <w:r w:rsidRPr="00FC6750">
        <w:rPr>
          <w:lang w:val="en-US"/>
        </w:rPr>
        <w:t xml:space="preserve">, </w:t>
      </w:r>
      <w:r w:rsidRPr="00FC6750">
        <w:rPr>
          <w:i/>
          <w:lang w:val="en-US"/>
        </w:rPr>
        <w:t>“Statistics in Transition”</w:t>
      </w:r>
      <w:r w:rsidRPr="00FC6750">
        <w:rPr>
          <w:lang w:val="en-US"/>
        </w:rPr>
        <w:t>,</w:t>
      </w:r>
      <w:r w:rsidRPr="00655B47">
        <w:rPr>
          <w:iCs/>
          <w:sz w:val="22"/>
          <w:szCs w:val="22"/>
          <w:lang w:val="en-US"/>
        </w:rPr>
        <w:t xml:space="preserve"> 13(3), 451-472</w:t>
      </w:r>
      <w:r>
        <w:rPr>
          <w:iCs/>
          <w:sz w:val="22"/>
          <w:szCs w:val="22"/>
          <w:lang w:val="en-US"/>
        </w:rPr>
        <w:t>,</w:t>
      </w:r>
      <w:r w:rsidRPr="00FC6750">
        <w:rPr>
          <w:lang w:val="en-US"/>
        </w:rPr>
        <w:t xml:space="preserve"> 2012</w:t>
      </w:r>
      <w:r>
        <w:rPr>
          <w:lang w:val="en-US"/>
        </w:rPr>
        <w:t>.</w:t>
      </w:r>
    </w:p>
    <w:p w:rsidR="009D4E9C" w:rsidRDefault="009D4E9C" w:rsidP="002A2EFB">
      <w:pPr>
        <w:spacing w:line="360" w:lineRule="auto"/>
        <w:jc w:val="both"/>
        <w:rPr>
          <w:lang w:val="en-GB"/>
        </w:rPr>
      </w:pPr>
      <w:r w:rsidRPr="006E2E2C">
        <w:rPr>
          <w:lang w:val="en-GB"/>
        </w:rPr>
        <w:t xml:space="preserve">Galeone C., Pollastri A., Reina G., </w:t>
      </w:r>
      <w:r w:rsidRPr="006E2E2C">
        <w:rPr>
          <w:i/>
          <w:lang w:val="en-GB"/>
        </w:rPr>
        <w:t>Bioequivalence assessment from crossover data: a new approach for the const</w:t>
      </w:r>
      <w:r>
        <w:rPr>
          <w:i/>
          <w:lang w:val="en-GB"/>
        </w:rPr>
        <w:t>ruction of confidence intervals</w:t>
      </w:r>
      <w:r w:rsidRPr="006E2E2C">
        <w:rPr>
          <w:i/>
          <w:lang w:val="en-GB"/>
        </w:rPr>
        <w:t xml:space="preserve"> or the ratio of two formulation means,”</w:t>
      </w:r>
      <w:r>
        <w:rPr>
          <w:i/>
          <w:lang w:val="en-GB"/>
        </w:rPr>
        <w:t xml:space="preserve"> </w:t>
      </w:r>
      <w:r w:rsidRPr="006E2E2C">
        <w:rPr>
          <w:i/>
          <w:lang w:val="en-GB"/>
        </w:rPr>
        <w:t>Atto del convegno nazionale SISMEC”,</w:t>
      </w:r>
      <w:r>
        <w:rPr>
          <w:i/>
          <w:lang w:val="en-GB"/>
        </w:rPr>
        <w:t xml:space="preserve"> </w:t>
      </w:r>
      <w:r>
        <w:rPr>
          <w:lang w:val="en-GB"/>
        </w:rPr>
        <w:t>(ed. G. Corrao), CLEUP, Padova, pp.261-266, 2007.</w:t>
      </w:r>
    </w:p>
    <w:p w:rsidR="009D4E9C" w:rsidRPr="00FC6750" w:rsidRDefault="009D4E9C" w:rsidP="002A2EFB">
      <w:pPr>
        <w:spacing w:line="360" w:lineRule="auto"/>
        <w:jc w:val="both"/>
        <w:rPr>
          <w:lang w:val="en-US"/>
        </w:rPr>
      </w:pPr>
      <w:r w:rsidRPr="00FC6750">
        <w:rPr>
          <w:lang w:val="en-US"/>
        </w:rPr>
        <w:t xml:space="preserve">Gardiner J. C., Huebner M. e A., </w:t>
      </w:r>
      <w:r w:rsidRPr="00FC6750">
        <w:rPr>
          <w:i/>
          <w:lang w:val="en-US"/>
        </w:rPr>
        <w:t>On parametric confidence intervals for the cost-effectiveness ratio</w:t>
      </w:r>
      <w:r w:rsidRPr="00FC6750">
        <w:rPr>
          <w:lang w:val="en-US"/>
        </w:rPr>
        <w:t xml:space="preserve">, </w:t>
      </w:r>
      <w:r w:rsidRPr="00FC6750">
        <w:rPr>
          <w:i/>
          <w:lang w:val="en-US"/>
        </w:rPr>
        <w:t xml:space="preserve">“Biometrical Journal” </w:t>
      </w:r>
      <w:r w:rsidRPr="00FC6750">
        <w:rPr>
          <w:lang w:val="en-US"/>
        </w:rPr>
        <w:t>, 283-296, 2001</w:t>
      </w:r>
      <w:r>
        <w:rPr>
          <w:lang w:val="en-US"/>
        </w:rPr>
        <w:t>, nr.43(3).</w:t>
      </w:r>
    </w:p>
    <w:p w:rsidR="009D4E9C" w:rsidRDefault="009D4E9C" w:rsidP="002A2EFB">
      <w:pPr>
        <w:spacing w:line="360" w:lineRule="auto"/>
        <w:jc w:val="both"/>
        <w:rPr>
          <w:lang w:val="en-US"/>
        </w:rPr>
      </w:pPr>
      <w:r w:rsidRPr="00FC6750">
        <w:rPr>
          <w:lang w:val="en-US"/>
        </w:rPr>
        <w:t xml:space="preserve">Gold M. R., Siegel J. E., Russel L. B., Weinstein M. C., </w:t>
      </w:r>
      <w:r w:rsidRPr="00FC6750">
        <w:rPr>
          <w:i/>
          <w:lang w:val="en-US"/>
        </w:rPr>
        <w:t>Cost-effectiveness in Health and Medicine</w:t>
      </w:r>
      <w:r w:rsidRPr="00FC6750">
        <w:rPr>
          <w:lang w:val="en-US"/>
        </w:rPr>
        <w:t xml:space="preserve">, </w:t>
      </w:r>
      <w:r w:rsidRPr="00FC6750">
        <w:rPr>
          <w:i/>
          <w:lang w:val="en-US"/>
        </w:rPr>
        <w:t>“Oxford University Press”</w:t>
      </w:r>
      <w:r w:rsidRPr="00FC6750">
        <w:rPr>
          <w:lang w:val="en-US"/>
        </w:rPr>
        <w:t xml:space="preserve">, </w:t>
      </w:r>
      <w:r>
        <w:rPr>
          <w:lang w:val="en-US"/>
        </w:rPr>
        <w:t xml:space="preserve"> </w:t>
      </w:r>
      <w:r w:rsidRPr="00FC6750">
        <w:rPr>
          <w:lang w:val="en-US"/>
        </w:rPr>
        <w:t>New York, 1996</w:t>
      </w:r>
      <w:r>
        <w:rPr>
          <w:lang w:val="en-US"/>
        </w:rPr>
        <w:t>.</w:t>
      </w:r>
    </w:p>
    <w:p w:rsidR="009D4E9C" w:rsidRDefault="009D4E9C" w:rsidP="002A2EFB">
      <w:pPr>
        <w:spacing w:line="360" w:lineRule="auto"/>
        <w:jc w:val="both"/>
        <w:rPr>
          <w:lang w:val="en-US"/>
        </w:rPr>
      </w:pPr>
      <w:r>
        <w:rPr>
          <w:lang w:val="en-US"/>
        </w:rPr>
        <w:t xml:space="preserve">Kendall M.G., Stuart A., </w:t>
      </w:r>
      <w:r>
        <w:rPr>
          <w:i/>
          <w:lang w:val="en-US"/>
        </w:rPr>
        <w:t>The advanced Theory of Statistics</w:t>
      </w:r>
      <w:r>
        <w:rPr>
          <w:lang w:val="en-US"/>
        </w:rPr>
        <w:t>, Griffin, London, 1972.</w:t>
      </w:r>
    </w:p>
    <w:p w:rsidR="009D4E9C" w:rsidRDefault="009D4E9C" w:rsidP="00113163">
      <w:pPr>
        <w:pStyle w:val="Referenceslist"/>
        <w:numPr>
          <w:ilvl w:val="0"/>
          <w:numId w:val="0"/>
        </w:numPr>
        <w:ind w:left="360" w:hanging="360"/>
        <w:rPr>
          <w:sz w:val="22"/>
          <w:szCs w:val="22"/>
          <w:lang w:val="en-GB"/>
        </w:rPr>
      </w:pPr>
      <w:r>
        <w:rPr>
          <w:sz w:val="22"/>
          <w:szCs w:val="22"/>
          <w:lang w:val="en-GB"/>
        </w:rPr>
        <w:t>Kotz S, Balakrishnan N, Johnson NL, Continuous Multivariate Distributions. Wiley, New York,2000.</w:t>
      </w:r>
    </w:p>
    <w:p w:rsidR="009D4E9C" w:rsidRPr="00FC6750" w:rsidRDefault="009D4E9C" w:rsidP="002A2EFB">
      <w:pPr>
        <w:spacing w:line="360" w:lineRule="auto"/>
        <w:jc w:val="both"/>
        <w:rPr>
          <w:lang w:val="en-US"/>
        </w:rPr>
      </w:pPr>
      <w:r w:rsidRPr="00FC6750">
        <w:rPr>
          <w:lang w:val="en-US"/>
        </w:rPr>
        <w:t xml:space="preserve">Laska E. M., Meisner M. e A., </w:t>
      </w:r>
      <w:r w:rsidRPr="00FC6750">
        <w:rPr>
          <w:i/>
          <w:lang w:val="en-US"/>
        </w:rPr>
        <w:t>Statistical inference for cost-effectiveness ratios</w:t>
      </w:r>
      <w:r w:rsidRPr="00FC6750">
        <w:rPr>
          <w:lang w:val="en-US"/>
        </w:rPr>
        <w:t xml:space="preserve">, </w:t>
      </w:r>
      <w:r w:rsidRPr="00FC6750">
        <w:rPr>
          <w:i/>
          <w:lang w:val="en-US"/>
        </w:rPr>
        <w:t>“Health Economics”</w:t>
      </w:r>
      <w:r w:rsidRPr="00FC6750">
        <w:rPr>
          <w:lang w:val="en-US"/>
        </w:rPr>
        <w:t>, 229-242, 1997</w:t>
      </w:r>
      <w:r>
        <w:rPr>
          <w:lang w:val="en-US"/>
        </w:rPr>
        <w:t>, nr. 6(3).</w:t>
      </w:r>
    </w:p>
    <w:p w:rsidR="009D4E9C" w:rsidRPr="00FC6750" w:rsidRDefault="009D4E9C" w:rsidP="002A2EFB">
      <w:pPr>
        <w:spacing w:after="120" w:line="360" w:lineRule="auto"/>
        <w:jc w:val="both"/>
        <w:rPr>
          <w:lang w:val="en-US"/>
        </w:rPr>
      </w:pPr>
      <w:r w:rsidRPr="00FC6750">
        <w:rPr>
          <w:lang w:val="en-US"/>
        </w:rPr>
        <w:t xml:space="preserve">Muennig P., </w:t>
      </w:r>
      <w:r w:rsidRPr="00FC6750">
        <w:rPr>
          <w:i/>
          <w:lang w:val="en-US"/>
        </w:rPr>
        <w:t>Cost-effectiveness analysis in health: a practical approach</w:t>
      </w:r>
      <w:r w:rsidRPr="00FC6750">
        <w:rPr>
          <w:lang w:val="en-US"/>
        </w:rPr>
        <w:t>, John Wiley, S. Francisco, 2008</w:t>
      </w:r>
      <w:r>
        <w:rPr>
          <w:lang w:val="en-US"/>
        </w:rPr>
        <w:t>.</w:t>
      </w:r>
    </w:p>
    <w:p w:rsidR="009D4E9C" w:rsidRPr="002A2EFB" w:rsidRDefault="009D4E9C" w:rsidP="002A2EFB">
      <w:pPr>
        <w:spacing w:after="120" w:line="360" w:lineRule="auto"/>
        <w:jc w:val="both"/>
        <w:rPr>
          <w:lang w:val="en-US"/>
        </w:rPr>
      </w:pPr>
      <w:r w:rsidRPr="00FC6750">
        <w:rPr>
          <w:lang w:val="en-US"/>
        </w:rPr>
        <w:t xml:space="preserve">Muntz R., Hutchings J., Rhianmon-Tudor E., Hounsome B., O’Ceillearchair A., </w:t>
      </w:r>
      <w:r w:rsidRPr="00FC6750">
        <w:rPr>
          <w:i/>
          <w:lang w:val="en-US"/>
        </w:rPr>
        <w:t>Economic evaluation of treatments for children with severe behavioral problems</w:t>
      </w:r>
      <w:r w:rsidRPr="00FC6750">
        <w:rPr>
          <w:lang w:val="en-US"/>
        </w:rPr>
        <w:t xml:space="preserve">, </w:t>
      </w:r>
      <w:r w:rsidRPr="00FC6750">
        <w:rPr>
          <w:i/>
          <w:lang w:val="en-US"/>
        </w:rPr>
        <w:t>“The Journal of mental health policy and economics”</w:t>
      </w:r>
      <w:r w:rsidRPr="00FC6750">
        <w:rPr>
          <w:lang w:val="en-US"/>
        </w:rPr>
        <w:t>, 1-13, 2004</w:t>
      </w:r>
      <w:r>
        <w:rPr>
          <w:lang w:val="en-US"/>
        </w:rPr>
        <w:t>, nr.7.</w:t>
      </w:r>
    </w:p>
    <w:p w:rsidR="009D4E9C" w:rsidRPr="002A2EFB" w:rsidRDefault="009D4E9C" w:rsidP="002A2EFB">
      <w:pPr>
        <w:pStyle w:val="Referenceslist"/>
        <w:numPr>
          <w:ilvl w:val="0"/>
          <w:numId w:val="0"/>
        </w:numPr>
        <w:spacing w:line="360" w:lineRule="auto"/>
        <w:rPr>
          <w:sz w:val="24"/>
          <w:szCs w:val="24"/>
        </w:rPr>
      </w:pPr>
      <w:r>
        <w:rPr>
          <w:sz w:val="24"/>
          <w:szCs w:val="24"/>
        </w:rPr>
        <w:t xml:space="preserve">Nicholson, C., </w:t>
      </w:r>
      <w:r w:rsidRPr="00670CCA">
        <w:rPr>
          <w:i/>
          <w:sz w:val="24"/>
          <w:szCs w:val="24"/>
        </w:rPr>
        <w:t>The probability Integral for Two variables</w:t>
      </w:r>
      <w:r>
        <w:rPr>
          <w:sz w:val="24"/>
          <w:szCs w:val="24"/>
        </w:rPr>
        <w:t>. “</w:t>
      </w:r>
      <w:r w:rsidRPr="00670CCA">
        <w:rPr>
          <w:i/>
          <w:sz w:val="24"/>
          <w:szCs w:val="24"/>
        </w:rPr>
        <w:t>Biometrika</w:t>
      </w:r>
      <w:r>
        <w:rPr>
          <w:i/>
          <w:sz w:val="24"/>
          <w:szCs w:val="24"/>
        </w:rPr>
        <w:t>”</w:t>
      </w:r>
      <w:r w:rsidRPr="00670CCA">
        <w:rPr>
          <w:i/>
          <w:sz w:val="24"/>
          <w:szCs w:val="24"/>
        </w:rPr>
        <w:t>,</w:t>
      </w:r>
      <w:r>
        <w:rPr>
          <w:sz w:val="24"/>
          <w:szCs w:val="24"/>
        </w:rPr>
        <w:t xml:space="preserve"> 59-72, </w:t>
      </w:r>
      <w:r w:rsidRPr="00670CCA">
        <w:rPr>
          <w:sz w:val="24"/>
          <w:szCs w:val="24"/>
        </w:rPr>
        <w:t>1943</w:t>
      </w:r>
      <w:r>
        <w:rPr>
          <w:sz w:val="24"/>
          <w:szCs w:val="24"/>
        </w:rPr>
        <w:t>, n.33.</w:t>
      </w:r>
    </w:p>
    <w:p w:rsidR="009D4E9C" w:rsidRPr="002A2EFB" w:rsidRDefault="009D4E9C" w:rsidP="002A2EFB">
      <w:pPr>
        <w:pStyle w:val="Referenceslist"/>
        <w:numPr>
          <w:ilvl w:val="0"/>
          <w:numId w:val="0"/>
        </w:numPr>
        <w:spacing w:line="360" w:lineRule="auto"/>
        <w:rPr>
          <w:rFonts w:ascii="TimesNewRoman" w:hAnsi="TimesNewRoman"/>
          <w:sz w:val="24"/>
          <w:szCs w:val="24"/>
        </w:rPr>
      </w:pPr>
      <w:r>
        <w:rPr>
          <w:sz w:val="22"/>
          <w:szCs w:val="22"/>
        </w:rPr>
        <w:t>O</w:t>
      </w:r>
      <w:r w:rsidRPr="00670CCA">
        <w:rPr>
          <w:sz w:val="24"/>
          <w:szCs w:val="24"/>
        </w:rPr>
        <w:t xml:space="preserve">ksoy, D., Aroian, L.A., </w:t>
      </w:r>
      <w:r w:rsidRPr="00670CCA">
        <w:rPr>
          <w:i/>
          <w:sz w:val="24"/>
          <w:szCs w:val="24"/>
        </w:rPr>
        <w:t>The quotient of two correlated normal variables with applications</w:t>
      </w:r>
      <w:r w:rsidRPr="00670CCA">
        <w:rPr>
          <w:sz w:val="24"/>
          <w:szCs w:val="24"/>
        </w:rPr>
        <w:t xml:space="preserve">, </w:t>
      </w:r>
      <w:r w:rsidRPr="00670CCA">
        <w:rPr>
          <w:i/>
          <w:sz w:val="24"/>
          <w:szCs w:val="24"/>
        </w:rPr>
        <w:t xml:space="preserve">“Comm. </w:t>
      </w:r>
      <w:r w:rsidRPr="00670CCA">
        <w:rPr>
          <w:i/>
          <w:sz w:val="24"/>
          <w:szCs w:val="24"/>
          <w:lang w:val="en-GB"/>
        </w:rPr>
        <w:t>Stat. Simula.”</w:t>
      </w:r>
      <w:r w:rsidRPr="00670CCA">
        <w:rPr>
          <w:sz w:val="24"/>
          <w:szCs w:val="24"/>
          <w:lang w:val="en-GB"/>
        </w:rPr>
        <w:t xml:space="preserve"> </w:t>
      </w:r>
      <w:r>
        <w:rPr>
          <w:sz w:val="24"/>
          <w:szCs w:val="24"/>
          <w:lang w:val="en-GB"/>
        </w:rPr>
        <w:t>,</w:t>
      </w:r>
      <w:r w:rsidRPr="00670CCA">
        <w:rPr>
          <w:sz w:val="24"/>
          <w:szCs w:val="24"/>
          <w:lang w:val="en-GB"/>
        </w:rPr>
        <w:t>223-241, 1994</w:t>
      </w:r>
      <w:r>
        <w:rPr>
          <w:rFonts w:ascii="TimesNewRoman" w:hAnsi="TimesNewRoman"/>
          <w:sz w:val="24"/>
          <w:szCs w:val="24"/>
        </w:rPr>
        <w:t xml:space="preserve">, nr </w:t>
      </w:r>
      <w:r w:rsidRPr="00670CCA">
        <w:rPr>
          <w:sz w:val="24"/>
          <w:szCs w:val="24"/>
          <w:lang w:val="en-GB"/>
        </w:rPr>
        <w:t>23(1)</w:t>
      </w:r>
      <w:r>
        <w:rPr>
          <w:sz w:val="24"/>
          <w:szCs w:val="24"/>
          <w:lang w:val="en-GB"/>
        </w:rPr>
        <w:t>.</w:t>
      </w:r>
    </w:p>
    <w:p w:rsidR="009D4E9C" w:rsidRPr="002A2EFB" w:rsidRDefault="009D4E9C" w:rsidP="002A2EFB">
      <w:pPr>
        <w:pStyle w:val="Referenceslist"/>
        <w:numPr>
          <w:ilvl w:val="0"/>
          <w:numId w:val="0"/>
        </w:numPr>
        <w:spacing w:line="360" w:lineRule="auto"/>
        <w:rPr>
          <w:rFonts w:ascii="TimesNewRoman" w:hAnsi="TimesNewRoman"/>
          <w:sz w:val="24"/>
          <w:szCs w:val="24"/>
          <w:lang w:val="en-GB"/>
        </w:rPr>
      </w:pPr>
      <w:r>
        <w:rPr>
          <w:rFonts w:ascii="TimesNewRoman" w:hAnsi="TimesNewRoman"/>
          <w:sz w:val="24"/>
          <w:szCs w:val="24"/>
        </w:rPr>
        <w:t xml:space="preserve">Owen, D.B. </w:t>
      </w:r>
      <w:r w:rsidRPr="00670CCA">
        <w:rPr>
          <w:rFonts w:ascii="TimesNewRoman" w:hAnsi="TimesNewRoman"/>
          <w:i/>
          <w:sz w:val="24"/>
          <w:szCs w:val="24"/>
        </w:rPr>
        <w:t>Tables for computing Bivariate Normal Probabilities. “</w:t>
      </w:r>
      <w:r w:rsidRPr="00670CCA">
        <w:rPr>
          <w:rFonts w:ascii="TimesNewRoman" w:hAnsi="TimesNewRoman"/>
          <w:i/>
          <w:sz w:val="24"/>
          <w:szCs w:val="24"/>
          <w:lang w:val="en-GB"/>
        </w:rPr>
        <w:t>Annals of</w:t>
      </w:r>
      <w:r w:rsidRPr="003621F8">
        <w:rPr>
          <w:rFonts w:ascii="TimesNewRoman" w:hAnsi="TimesNewRoman"/>
          <w:sz w:val="24"/>
          <w:szCs w:val="24"/>
          <w:lang w:val="en-GB"/>
        </w:rPr>
        <w:t xml:space="preserve"> </w:t>
      </w:r>
      <w:r w:rsidRPr="00670CCA">
        <w:rPr>
          <w:rFonts w:ascii="TimesNewRoman" w:hAnsi="TimesNewRoman"/>
          <w:i/>
          <w:sz w:val="24"/>
          <w:szCs w:val="24"/>
          <w:lang w:val="en-GB"/>
        </w:rPr>
        <w:t>Mathematical Statistics”</w:t>
      </w:r>
      <w:r>
        <w:rPr>
          <w:rFonts w:ascii="TimesNewRoman" w:hAnsi="TimesNewRoman"/>
          <w:sz w:val="24"/>
          <w:szCs w:val="24"/>
          <w:lang w:val="en-GB"/>
        </w:rPr>
        <w:t>, 1075-1090 ,1956, nr 27.</w:t>
      </w:r>
    </w:p>
    <w:p w:rsidR="009D4E9C" w:rsidRPr="00FC6750" w:rsidRDefault="009D4E9C" w:rsidP="002A2EFB">
      <w:pPr>
        <w:pStyle w:val="Referenceslist"/>
        <w:numPr>
          <w:ilvl w:val="0"/>
          <w:numId w:val="0"/>
        </w:numPr>
        <w:tabs>
          <w:tab w:val="left" w:pos="708"/>
        </w:tabs>
        <w:spacing w:after="120" w:line="360" w:lineRule="auto"/>
        <w:rPr>
          <w:sz w:val="24"/>
          <w:szCs w:val="24"/>
        </w:rPr>
      </w:pPr>
      <w:r w:rsidRPr="00FC6750">
        <w:rPr>
          <w:sz w:val="24"/>
          <w:szCs w:val="24"/>
        </w:rPr>
        <w:t xml:space="preserve">Pollastri A., Tulli V., </w:t>
      </w:r>
      <w:r w:rsidRPr="00FC6750">
        <w:rPr>
          <w:i/>
          <w:sz w:val="24"/>
          <w:szCs w:val="24"/>
        </w:rPr>
        <w:t>Considerations about the quotient of two correlated normals</w:t>
      </w:r>
      <w:r w:rsidRPr="00FC6750">
        <w:rPr>
          <w:sz w:val="24"/>
          <w:szCs w:val="24"/>
        </w:rPr>
        <w:t xml:space="preserve">, </w:t>
      </w:r>
      <w:r w:rsidRPr="00FC6750">
        <w:rPr>
          <w:i/>
          <w:sz w:val="24"/>
          <w:szCs w:val="24"/>
        </w:rPr>
        <w:t>“Procendings of the XLVI Scientific Meeting SIS”</w:t>
      </w:r>
      <w:r w:rsidRPr="00FC6750">
        <w:rPr>
          <w:sz w:val="24"/>
          <w:szCs w:val="24"/>
        </w:rPr>
        <w:t xml:space="preserve">, Roma, 2012 </w:t>
      </w:r>
    </w:p>
    <w:p w:rsidR="009D4E9C" w:rsidRPr="00FC6750" w:rsidRDefault="009D4E9C" w:rsidP="002A2EFB">
      <w:pPr>
        <w:spacing w:after="120" w:line="360" w:lineRule="auto"/>
        <w:jc w:val="both"/>
        <w:rPr>
          <w:lang w:val="en-GB"/>
        </w:rPr>
      </w:pPr>
      <w:r w:rsidRPr="00FC6750">
        <w:rPr>
          <w:lang w:val="en-US"/>
        </w:rPr>
        <w:t xml:space="preserve">Polsky D., Glick H. A., Wilke R., Schulman K., </w:t>
      </w:r>
      <w:r w:rsidRPr="00FC6750">
        <w:rPr>
          <w:i/>
          <w:lang w:val="en-US"/>
        </w:rPr>
        <w:t>Confidence intervals for cost-effectiveness ratios: a comparison of four methods</w:t>
      </w:r>
      <w:r w:rsidRPr="00FC6750">
        <w:rPr>
          <w:lang w:val="en-US"/>
        </w:rPr>
        <w:t xml:space="preserve">, </w:t>
      </w:r>
      <w:r w:rsidRPr="00FC6750">
        <w:rPr>
          <w:i/>
          <w:lang w:val="en-US"/>
        </w:rPr>
        <w:t>“Health Economics”</w:t>
      </w:r>
      <w:r w:rsidRPr="00FC6750">
        <w:rPr>
          <w:lang w:val="en-US"/>
        </w:rPr>
        <w:t>, 243-253, 1997</w:t>
      </w:r>
      <w:r>
        <w:rPr>
          <w:lang w:val="en-US"/>
        </w:rPr>
        <w:t>, nr 6.</w:t>
      </w:r>
      <w:r w:rsidRPr="00FC6750">
        <w:rPr>
          <w:lang w:val="en-US"/>
        </w:rPr>
        <w:t xml:space="preserve">  </w:t>
      </w:r>
      <w:r w:rsidRPr="00FC6750">
        <w:rPr>
          <w:i/>
          <w:lang w:val="en-US"/>
        </w:rPr>
        <w:t xml:space="preserve"> </w:t>
      </w:r>
      <w:r w:rsidRPr="00FC6750">
        <w:rPr>
          <w:lang w:val="en-US"/>
        </w:rPr>
        <w:t xml:space="preserve"> </w:t>
      </w:r>
      <w:r w:rsidRPr="00FC6750">
        <w:rPr>
          <w:i/>
          <w:lang w:val="en-US"/>
        </w:rPr>
        <w:t xml:space="preserve">  </w:t>
      </w:r>
      <w:r w:rsidRPr="00FC6750">
        <w:rPr>
          <w:lang w:val="en-US"/>
        </w:rPr>
        <w:t xml:space="preserve">  </w:t>
      </w:r>
    </w:p>
    <w:p w:rsidR="009D4E9C" w:rsidRPr="00FC6750" w:rsidRDefault="009D4E9C" w:rsidP="002A2EFB">
      <w:pPr>
        <w:spacing w:line="360" w:lineRule="auto"/>
        <w:rPr>
          <w:lang w:val="en-GB"/>
        </w:rPr>
      </w:pPr>
    </w:p>
    <w:p w:rsidR="009D4E9C" w:rsidRDefault="009D4E9C" w:rsidP="002A2EFB">
      <w:pPr>
        <w:spacing w:after="120" w:line="360" w:lineRule="auto"/>
        <w:jc w:val="both"/>
        <w:rPr>
          <w:lang w:val="en-GB"/>
        </w:rPr>
      </w:pPr>
    </w:p>
    <w:p w:rsidR="009D4E9C" w:rsidRPr="00FC6750" w:rsidRDefault="009D4E9C" w:rsidP="005262C2">
      <w:pPr>
        <w:spacing w:after="120" w:line="360" w:lineRule="auto"/>
        <w:jc w:val="both"/>
        <w:rPr>
          <w:lang w:val="en-GB"/>
        </w:rPr>
      </w:pPr>
    </w:p>
    <w:sectPr w:rsidR="009D4E9C" w:rsidRPr="00FC6750" w:rsidSect="005262C2">
      <w:footerReference w:type="even" r:id="rId106"/>
      <w:footerReference w:type="default" r:id="rId107"/>
      <w:pgSz w:w="11906" w:h="16838"/>
      <w:pgMar w:top="1418" w:right="1985"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E9C" w:rsidRDefault="009D4E9C">
      <w:r>
        <w:separator/>
      </w:r>
    </w:p>
  </w:endnote>
  <w:endnote w:type="continuationSeparator" w:id="0">
    <w:p w:rsidR="009D4E9C" w:rsidRDefault="009D4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9C" w:rsidRDefault="009D4E9C" w:rsidP="00920A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E9C" w:rsidRDefault="009D4E9C" w:rsidP="00600E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9C" w:rsidRDefault="009D4E9C" w:rsidP="00920A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4E9C" w:rsidRDefault="009D4E9C" w:rsidP="00600E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E9C" w:rsidRDefault="009D4E9C">
      <w:r>
        <w:separator/>
      </w:r>
    </w:p>
  </w:footnote>
  <w:footnote w:type="continuationSeparator" w:id="0">
    <w:p w:rsidR="009D4E9C" w:rsidRDefault="009D4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102A2F6"/>
    <w:name w:val="WW8Num11"/>
    <w:lvl w:ilvl="0">
      <w:start w:val="1"/>
      <w:numFmt w:val="decimal"/>
      <w:pStyle w:val="Referenceslist"/>
      <w:lvlText w:val="%1."/>
      <w:lvlJc w:val="left"/>
      <w:pPr>
        <w:tabs>
          <w:tab w:val="num" w:pos="360"/>
        </w:tabs>
        <w:ind w:left="360" w:hanging="360"/>
      </w:pPr>
      <w:rPr>
        <w:rFonts w:cs="Times New Roman"/>
      </w:rPr>
    </w:lvl>
  </w:abstractNum>
  <w:abstractNum w:abstractNumId="1">
    <w:nsid w:val="03725F54"/>
    <w:multiLevelType w:val="hybridMultilevel"/>
    <w:tmpl w:val="D4FC76F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D22090D"/>
    <w:multiLevelType w:val="multilevel"/>
    <w:tmpl w:val="0024A9AE"/>
    <w:lvl w:ilvl="0">
      <w:start w:val="1"/>
      <w:numFmt w:val="decimal"/>
      <w:pStyle w:val="Heading1"/>
      <w:lvlText w:val="%1"/>
      <w:lvlJc w:val="left"/>
      <w:pPr>
        <w:tabs>
          <w:tab w:val="num" w:pos="737"/>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pPr>
      <w:rPr>
        <w:rFonts w:ascii="Calibri" w:hAnsi="Calibri" w:cs="Times New Roman" w:hint="default"/>
        <w:b w:val="0"/>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3C8E530B"/>
    <w:multiLevelType w:val="hybridMultilevel"/>
    <w:tmpl w:val="D5BE6862"/>
    <w:lvl w:ilvl="0" w:tplc="B6D0E30C">
      <w:start w:val="5"/>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496C7D16"/>
    <w:multiLevelType w:val="hybridMultilevel"/>
    <w:tmpl w:val="1A9AF81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49B01E59"/>
    <w:multiLevelType w:val="multilevel"/>
    <w:tmpl w:val="1A9AF8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18F06B5"/>
    <w:multiLevelType w:val="multilevel"/>
    <w:tmpl w:val="D4FC76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6472330D"/>
    <w:multiLevelType w:val="hybridMultilevel"/>
    <w:tmpl w:val="52DC3856"/>
    <w:lvl w:ilvl="0" w:tplc="BF1C0C9A">
      <w:start w:val="1"/>
      <w:numFmt w:val="bullet"/>
      <w:lvlText w:val=""/>
      <w:lvlJc w:val="left"/>
      <w:pPr>
        <w:tabs>
          <w:tab w:val="num" w:pos="757"/>
        </w:tabs>
        <w:ind w:left="757" w:hanging="397"/>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73F66572"/>
    <w:multiLevelType w:val="hybridMultilevel"/>
    <w:tmpl w:val="9F0E5DCE"/>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num>
  <w:num w:numId="5">
    <w:abstractNumId w:val="5"/>
  </w:num>
  <w:num w:numId="6">
    <w:abstractNumId w:val="7"/>
  </w:num>
  <w:num w:numId="7">
    <w:abstractNumId w:val="1"/>
  </w:num>
  <w:num w:numId="8">
    <w:abstractNumId w:val="2"/>
  </w:num>
  <w:num w:numId="9">
    <w:abstractNumId w:val="6"/>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D85"/>
    <w:rsid w:val="0000489D"/>
    <w:rsid w:val="00006F4A"/>
    <w:rsid w:val="000118DC"/>
    <w:rsid w:val="00012DFF"/>
    <w:rsid w:val="000252CD"/>
    <w:rsid w:val="00034B56"/>
    <w:rsid w:val="00040D40"/>
    <w:rsid w:val="000542B8"/>
    <w:rsid w:val="000566D5"/>
    <w:rsid w:val="00061ED9"/>
    <w:rsid w:val="00063E80"/>
    <w:rsid w:val="00066536"/>
    <w:rsid w:val="00075197"/>
    <w:rsid w:val="00076AE5"/>
    <w:rsid w:val="00082419"/>
    <w:rsid w:val="000829A2"/>
    <w:rsid w:val="000861D1"/>
    <w:rsid w:val="00093BC9"/>
    <w:rsid w:val="000B6177"/>
    <w:rsid w:val="000C2903"/>
    <w:rsid w:val="000C2DD5"/>
    <w:rsid w:val="000D1ED4"/>
    <w:rsid w:val="000D2BFB"/>
    <w:rsid w:val="000D4D08"/>
    <w:rsid w:val="000E0C7C"/>
    <w:rsid w:val="000E45E9"/>
    <w:rsid w:val="000E63C8"/>
    <w:rsid w:val="000F2CBE"/>
    <w:rsid w:val="001044C8"/>
    <w:rsid w:val="00106589"/>
    <w:rsid w:val="00107B33"/>
    <w:rsid w:val="00113163"/>
    <w:rsid w:val="00113E7B"/>
    <w:rsid w:val="00116198"/>
    <w:rsid w:val="00121CC1"/>
    <w:rsid w:val="001223BE"/>
    <w:rsid w:val="001223EA"/>
    <w:rsid w:val="0013005F"/>
    <w:rsid w:val="0013160A"/>
    <w:rsid w:val="00134658"/>
    <w:rsid w:val="0015262E"/>
    <w:rsid w:val="00152822"/>
    <w:rsid w:val="00162620"/>
    <w:rsid w:val="001627B9"/>
    <w:rsid w:val="00165206"/>
    <w:rsid w:val="00166D04"/>
    <w:rsid w:val="001674D1"/>
    <w:rsid w:val="00184F30"/>
    <w:rsid w:val="001856F4"/>
    <w:rsid w:val="001B2A84"/>
    <w:rsid w:val="001B5D42"/>
    <w:rsid w:val="001B63B0"/>
    <w:rsid w:val="001C2567"/>
    <w:rsid w:val="001C2D90"/>
    <w:rsid w:val="001C3CA4"/>
    <w:rsid w:val="001D040E"/>
    <w:rsid w:val="001D1051"/>
    <w:rsid w:val="001D1098"/>
    <w:rsid w:val="001E7754"/>
    <w:rsid w:val="001F3B7B"/>
    <w:rsid w:val="001F6F2F"/>
    <w:rsid w:val="00205181"/>
    <w:rsid w:val="002103D1"/>
    <w:rsid w:val="002164E7"/>
    <w:rsid w:val="00225C89"/>
    <w:rsid w:val="00231B92"/>
    <w:rsid w:val="002340FB"/>
    <w:rsid w:val="002606C4"/>
    <w:rsid w:val="00261414"/>
    <w:rsid w:val="002666F4"/>
    <w:rsid w:val="00277A98"/>
    <w:rsid w:val="0028678A"/>
    <w:rsid w:val="002903C4"/>
    <w:rsid w:val="002A2EFB"/>
    <w:rsid w:val="002A5C46"/>
    <w:rsid w:val="002A65AE"/>
    <w:rsid w:val="002A7026"/>
    <w:rsid w:val="002A7A86"/>
    <w:rsid w:val="002B002A"/>
    <w:rsid w:val="002B09A7"/>
    <w:rsid w:val="002B0E89"/>
    <w:rsid w:val="002B1BA5"/>
    <w:rsid w:val="002C00C9"/>
    <w:rsid w:val="002C39D8"/>
    <w:rsid w:val="002C4B03"/>
    <w:rsid w:val="002D675F"/>
    <w:rsid w:val="002E5482"/>
    <w:rsid w:val="002E5CA6"/>
    <w:rsid w:val="002F792B"/>
    <w:rsid w:val="00307B5F"/>
    <w:rsid w:val="0031569E"/>
    <w:rsid w:val="003177B5"/>
    <w:rsid w:val="003226B9"/>
    <w:rsid w:val="00325321"/>
    <w:rsid w:val="003255D5"/>
    <w:rsid w:val="00325D02"/>
    <w:rsid w:val="003430B8"/>
    <w:rsid w:val="00344F5E"/>
    <w:rsid w:val="0035495B"/>
    <w:rsid w:val="003602A0"/>
    <w:rsid w:val="003621F8"/>
    <w:rsid w:val="00366BB0"/>
    <w:rsid w:val="00372F4B"/>
    <w:rsid w:val="003746E5"/>
    <w:rsid w:val="00374F3B"/>
    <w:rsid w:val="00376FB9"/>
    <w:rsid w:val="003779AE"/>
    <w:rsid w:val="003864A6"/>
    <w:rsid w:val="003934C8"/>
    <w:rsid w:val="00393D8C"/>
    <w:rsid w:val="00395C4B"/>
    <w:rsid w:val="003A23FC"/>
    <w:rsid w:val="003A2590"/>
    <w:rsid w:val="003A4FF6"/>
    <w:rsid w:val="003B1DC7"/>
    <w:rsid w:val="003B4E2C"/>
    <w:rsid w:val="003B579A"/>
    <w:rsid w:val="003C0CB5"/>
    <w:rsid w:val="003C2DDE"/>
    <w:rsid w:val="003D48AE"/>
    <w:rsid w:val="003E22B4"/>
    <w:rsid w:val="003E28FF"/>
    <w:rsid w:val="003E49EF"/>
    <w:rsid w:val="003E50E5"/>
    <w:rsid w:val="003E76F8"/>
    <w:rsid w:val="003E7966"/>
    <w:rsid w:val="003F3239"/>
    <w:rsid w:val="003F424F"/>
    <w:rsid w:val="003F62E4"/>
    <w:rsid w:val="004030EE"/>
    <w:rsid w:val="00411086"/>
    <w:rsid w:val="00412EF0"/>
    <w:rsid w:val="004165F0"/>
    <w:rsid w:val="00416F1D"/>
    <w:rsid w:val="0042080C"/>
    <w:rsid w:val="00421573"/>
    <w:rsid w:val="00436A22"/>
    <w:rsid w:val="004464EE"/>
    <w:rsid w:val="00446F6B"/>
    <w:rsid w:val="00447688"/>
    <w:rsid w:val="00451C7A"/>
    <w:rsid w:val="00452933"/>
    <w:rsid w:val="00464EB4"/>
    <w:rsid w:val="00477618"/>
    <w:rsid w:val="00480660"/>
    <w:rsid w:val="004861B6"/>
    <w:rsid w:val="00486BE6"/>
    <w:rsid w:val="00487BC6"/>
    <w:rsid w:val="00494BD9"/>
    <w:rsid w:val="00497700"/>
    <w:rsid w:val="004A164B"/>
    <w:rsid w:val="004A224B"/>
    <w:rsid w:val="004A3FBB"/>
    <w:rsid w:val="004B1ABA"/>
    <w:rsid w:val="004B373A"/>
    <w:rsid w:val="004B4695"/>
    <w:rsid w:val="004B7EAD"/>
    <w:rsid w:val="004D1D68"/>
    <w:rsid w:val="004D4AC5"/>
    <w:rsid w:val="004D570D"/>
    <w:rsid w:val="004D62BA"/>
    <w:rsid w:val="004D6B22"/>
    <w:rsid w:val="004E2EFD"/>
    <w:rsid w:val="004E59E5"/>
    <w:rsid w:val="004E5FAD"/>
    <w:rsid w:val="0051032B"/>
    <w:rsid w:val="00523887"/>
    <w:rsid w:val="005262C2"/>
    <w:rsid w:val="00527BB9"/>
    <w:rsid w:val="005375F0"/>
    <w:rsid w:val="00537A1D"/>
    <w:rsid w:val="00537FA5"/>
    <w:rsid w:val="005471FA"/>
    <w:rsid w:val="00551381"/>
    <w:rsid w:val="00552776"/>
    <w:rsid w:val="005531D4"/>
    <w:rsid w:val="00554C10"/>
    <w:rsid w:val="00566696"/>
    <w:rsid w:val="0057093E"/>
    <w:rsid w:val="005710C1"/>
    <w:rsid w:val="00571745"/>
    <w:rsid w:val="00571BF0"/>
    <w:rsid w:val="00574C75"/>
    <w:rsid w:val="00582747"/>
    <w:rsid w:val="00583CBF"/>
    <w:rsid w:val="00584A1A"/>
    <w:rsid w:val="00595F39"/>
    <w:rsid w:val="005A0939"/>
    <w:rsid w:val="005A1F65"/>
    <w:rsid w:val="005A203F"/>
    <w:rsid w:val="005A541C"/>
    <w:rsid w:val="005C0765"/>
    <w:rsid w:val="005C592E"/>
    <w:rsid w:val="005D1F70"/>
    <w:rsid w:val="005D4AF1"/>
    <w:rsid w:val="005D643D"/>
    <w:rsid w:val="005D76EC"/>
    <w:rsid w:val="005E3BC5"/>
    <w:rsid w:val="005E7CA4"/>
    <w:rsid w:val="005F6A12"/>
    <w:rsid w:val="005F787F"/>
    <w:rsid w:val="00600E60"/>
    <w:rsid w:val="00603C22"/>
    <w:rsid w:val="006040A5"/>
    <w:rsid w:val="00612881"/>
    <w:rsid w:val="00615AA4"/>
    <w:rsid w:val="00617A4F"/>
    <w:rsid w:val="006354AD"/>
    <w:rsid w:val="006361AF"/>
    <w:rsid w:val="00646693"/>
    <w:rsid w:val="00647923"/>
    <w:rsid w:val="00651B01"/>
    <w:rsid w:val="00655B47"/>
    <w:rsid w:val="00656B9D"/>
    <w:rsid w:val="00662DCC"/>
    <w:rsid w:val="00670CCA"/>
    <w:rsid w:val="00671669"/>
    <w:rsid w:val="00673150"/>
    <w:rsid w:val="00680B23"/>
    <w:rsid w:val="00680FBD"/>
    <w:rsid w:val="00683301"/>
    <w:rsid w:val="00694E45"/>
    <w:rsid w:val="00695042"/>
    <w:rsid w:val="0069731D"/>
    <w:rsid w:val="006A1721"/>
    <w:rsid w:val="006A3E18"/>
    <w:rsid w:val="006A6900"/>
    <w:rsid w:val="006B7EDE"/>
    <w:rsid w:val="006C1685"/>
    <w:rsid w:val="006C387E"/>
    <w:rsid w:val="006D1056"/>
    <w:rsid w:val="006D2491"/>
    <w:rsid w:val="006E2E2C"/>
    <w:rsid w:val="006F26FE"/>
    <w:rsid w:val="006F2ED8"/>
    <w:rsid w:val="006F5A42"/>
    <w:rsid w:val="006F6EFA"/>
    <w:rsid w:val="00703777"/>
    <w:rsid w:val="00704D96"/>
    <w:rsid w:val="007055AC"/>
    <w:rsid w:val="007056F5"/>
    <w:rsid w:val="00705FAA"/>
    <w:rsid w:val="007123ED"/>
    <w:rsid w:val="00715EB3"/>
    <w:rsid w:val="007271CA"/>
    <w:rsid w:val="00735465"/>
    <w:rsid w:val="00744BEC"/>
    <w:rsid w:val="00747173"/>
    <w:rsid w:val="00750F7E"/>
    <w:rsid w:val="00754750"/>
    <w:rsid w:val="00756A5B"/>
    <w:rsid w:val="00756A69"/>
    <w:rsid w:val="007575EE"/>
    <w:rsid w:val="00760C76"/>
    <w:rsid w:val="00763B10"/>
    <w:rsid w:val="00770081"/>
    <w:rsid w:val="00774C3B"/>
    <w:rsid w:val="00774F1C"/>
    <w:rsid w:val="007753E2"/>
    <w:rsid w:val="007772D0"/>
    <w:rsid w:val="007A0248"/>
    <w:rsid w:val="007A02F0"/>
    <w:rsid w:val="007A19B2"/>
    <w:rsid w:val="007A3A3A"/>
    <w:rsid w:val="007A64F5"/>
    <w:rsid w:val="007A7BDD"/>
    <w:rsid w:val="007B01B0"/>
    <w:rsid w:val="007B5ACA"/>
    <w:rsid w:val="007B5BB9"/>
    <w:rsid w:val="007C0435"/>
    <w:rsid w:val="007C2CDF"/>
    <w:rsid w:val="007C3947"/>
    <w:rsid w:val="007D04DB"/>
    <w:rsid w:val="007D1473"/>
    <w:rsid w:val="007D1E81"/>
    <w:rsid w:val="007D4EFF"/>
    <w:rsid w:val="007E4D29"/>
    <w:rsid w:val="007E6113"/>
    <w:rsid w:val="007F7FE7"/>
    <w:rsid w:val="008002A7"/>
    <w:rsid w:val="008047AA"/>
    <w:rsid w:val="008077A3"/>
    <w:rsid w:val="008079B7"/>
    <w:rsid w:val="00810B16"/>
    <w:rsid w:val="00810C53"/>
    <w:rsid w:val="0081222A"/>
    <w:rsid w:val="0081483F"/>
    <w:rsid w:val="0081682B"/>
    <w:rsid w:val="008200EC"/>
    <w:rsid w:val="00821D7D"/>
    <w:rsid w:val="00830A23"/>
    <w:rsid w:val="00835722"/>
    <w:rsid w:val="0084010E"/>
    <w:rsid w:val="00852980"/>
    <w:rsid w:val="00854451"/>
    <w:rsid w:val="00861FA3"/>
    <w:rsid w:val="0086259A"/>
    <w:rsid w:val="00864DDF"/>
    <w:rsid w:val="00866C48"/>
    <w:rsid w:val="008673C5"/>
    <w:rsid w:val="00871804"/>
    <w:rsid w:val="00872A65"/>
    <w:rsid w:val="00880CF9"/>
    <w:rsid w:val="00895824"/>
    <w:rsid w:val="008A3AE5"/>
    <w:rsid w:val="008A4B39"/>
    <w:rsid w:val="008A6F49"/>
    <w:rsid w:val="008B14F8"/>
    <w:rsid w:val="008B5A35"/>
    <w:rsid w:val="008F116D"/>
    <w:rsid w:val="008F2E58"/>
    <w:rsid w:val="008F353D"/>
    <w:rsid w:val="0090635B"/>
    <w:rsid w:val="00915287"/>
    <w:rsid w:val="00920A87"/>
    <w:rsid w:val="00921C88"/>
    <w:rsid w:val="00921E79"/>
    <w:rsid w:val="00926610"/>
    <w:rsid w:val="00932139"/>
    <w:rsid w:val="0093422B"/>
    <w:rsid w:val="0094232E"/>
    <w:rsid w:val="0094242D"/>
    <w:rsid w:val="00944D08"/>
    <w:rsid w:val="009453AD"/>
    <w:rsid w:val="009460CD"/>
    <w:rsid w:val="009521BC"/>
    <w:rsid w:val="00964959"/>
    <w:rsid w:val="00982E91"/>
    <w:rsid w:val="00983A28"/>
    <w:rsid w:val="00996E03"/>
    <w:rsid w:val="009A0289"/>
    <w:rsid w:val="009B2987"/>
    <w:rsid w:val="009B54AE"/>
    <w:rsid w:val="009B7404"/>
    <w:rsid w:val="009C26A7"/>
    <w:rsid w:val="009C6A57"/>
    <w:rsid w:val="009D41E9"/>
    <w:rsid w:val="009D4E9C"/>
    <w:rsid w:val="009D5D87"/>
    <w:rsid w:val="009D629D"/>
    <w:rsid w:val="009E3A04"/>
    <w:rsid w:val="009E4108"/>
    <w:rsid w:val="009E7BB4"/>
    <w:rsid w:val="009F64DC"/>
    <w:rsid w:val="009F77F5"/>
    <w:rsid w:val="00A10151"/>
    <w:rsid w:val="00A11201"/>
    <w:rsid w:val="00A11C05"/>
    <w:rsid w:val="00A11E23"/>
    <w:rsid w:val="00A143EC"/>
    <w:rsid w:val="00A205C1"/>
    <w:rsid w:val="00A233E6"/>
    <w:rsid w:val="00A25D36"/>
    <w:rsid w:val="00A26814"/>
    <w:rsid w:val="00A33437"/>
    <w:rsid w:val="00A51746"/>
    <w:rsid w:val="00A52245"/>
    <w:rsid w:val="00A56D2B"/>
    <w:rsid w:val="00A663A3"/>
    <w:rsid w:val="00A753F5"/>
    <w:rsid w:val="00A848F6"/>
    <w:rsid w:val="00A94101"/>
    <w:rsid w:val="00A96BF3"/>
    <w:rsid w:val="00AA009E"/>
    <w:rsid w:val="00AA2F00"/>
    <w:rsid w:val="00AA3A69"/>
    <w:rsid w:val="00AA6678"/>
    <w:rsid w:val="00AB48CE"/>
    <w:rsid w:val="00AB4FBA"/>
    <w:rsid w:val="00AB6CFE"/>
    <w:rsid w:val="00AC53B5"/>
    <w:rsid w:val="00AC68D1"/>
    <w:rsid w:val="00AD18DB"/>
    <w:rsid w:val="00AD528F"/>
    <w:rsid w:val="00AE3C1D"/>
    <w:rsid w:val="00AE5F39"/>
    <w:rsid w:val="00AF2AE2"/>
    <w:rsid w:val="00B02C60"/>
    <w:rsid w:val="00B129C3"/>
    <w:rsid w:val="00B174AF"/>
    <w:rsid w:val="00B40C39"/>
    <w:rsid w:val="00B542A0"/>
    <w:rsid w:val="00B6228A"/>
    <w:rsid w:val="00B62683"/>
    <w:rsid w:val="00B675A3"/>
    <w:rsid w:val="00B75AA6"/>
    <w:rsid w:val="00B9301B"/>
    <w:rsid w:val="00B9580F"/>
    <w:rsid w:val="00BB6599"/>
    <w:rsid w:val="00BD6647"/>
    <w:rsid w:val="00BD7F5B"/>
    <w:rsid w:val="00BF41EB"/>
    <w:rsid w:val="00BF43C9"/>
    <w:rsid w:val="00C0112B"/>
    <w:rsid w:val="00C0403C"/>
    <w:rsid w:val="00C054F5"/>
    <w:rsid w:val="00C125F5"/>
    <w:rsid w:val="00C13E91"/>
    <w:rsid w:val="00C2131B"/>
    <w:rsid w:val="00C213E2"/>
    <w:rsid w:val="00C312FA"/>
    <w:rsid w:val="00C32D1B"/>
    <w:rsid w:val="00C373F3"/>
    <w:rsid w:val="00C41F89"/>
    <w:rsid w:val="00C50706"/>
    <w:rsid w:val="00C55B3A"/>
    <w:rsid w:val="00C66536"/>
    <w:rsid w:val="00C730E9"/>
    <w:rsid w:val="00C75DC4"/>
    <w:rsid w:val="00C76568"/>
    <w:rsid w:val="00C85EBB"/>
    <w:rsid w:val="00C87AD4"/>
    <w:rsid w:val="00CA657C"/>
    <w:rsid w:val="00CB1286"/>
    <w:rsid w:val="00CB361D"/>
    <w:rsid w:val="00CC1B55"/>
    <w:rsid w:val="00CD7D96"/>
    <w:rsid w:val="00CE751F"/>
    <w:rsid w:val="00CF39D8"/>
    <w:rsid w:val="00D0131A"/>
    <w:rsid w:val="00D013F3"/>
    <w:rsid w:val="00D03D53"/>
    <w:rsid w:val="00D058C9"/>
    <w:rsid w:val="00D07C80"/>
    <w:rsid w:val="00D12733"/>
    <w:rsid w:val="00D15212"/>
    <w:rsid w:val="00D15A0A"/>
    <w:rsid w:val="00D20D85"/>
    <w:rsid w:val="00D21E11"/>
    <w:rsid w:val="00D263D3"/>
    <w:rsid w:val="00D35F0E"/>
    <w:rsid w:val="00D35F5A"/>
    <w:rsid w:val="00D3787B"/>
    <w:rsid w:val="00D51627"/>
    <w:rsid w:val="00D60D83"/>
    <w:rsid w:val="00D61ED6"/>
    <w:rsid w:val="00D627A8"/>
    <w:rsid w:val="00D62A5D"/>
    <w:rsid w:val="00D6397B"/>
    <w:rsid w:val="00D71439"/>
    <w:rsid w:val="00D72014"/>
    <w:rsid w:val="00D750CB"/>
    <w:rsid w:val="00D752FE"/>
    <w:rsid w:val="00D83E97"/>
    <w:rsid w:val="00D91294"/>
    <w:rsid w:val="00DA6E6B"/>
    <w:rsid w:val="00DB3408"/>
    <w:rsid w:val="00DB4CB2"/>
    <w:rsid w:val="00DB5D60"/>
    <w:rsid w:val="00DB7258"/>
    <w:rsid w:val="00DC463E"/>
    <w:rsid w:val="00DC7AF3"/>
    <w:rsid w:val="00DD5A0E"/>
    <w:rsid w:val="00DE01B2"/>
    <w:rsid w:val="00DE0249"/>
    <w:rsid w:val="00DE2DA1"/>
    <w:rsid w:val="00DE47AD"/>
    <w:rsid w:val="00DE7474"/>
    <w:rsid w:val="00DE7A95"/>
    <w:rsid w:val="00DF4084"/>
    <w:rsid w:val="00E07FA9"/>
    <w:rsid w:val="00E167C8"/>
    <w:rsid w:val="00E30B3F"/>
    <w:rsid w:val="00E30D50"/>
    <w:rsid w:val="00E4064B"/>
    <w:rsid w:val="00E465A4"/>
    <w:rsid w:val="00E55B42"/>
    <w:rsid w:val="00E649D2"/>
    <w:rsid w:val="00E64D10"/>
    <w:rsid w:val="00E74A0E"/>
    <w:rsid w:val="00E7646A"/>
    <w:rsid w:val="00E767B7"/>
    <w:rsid w:val="00E834FA"/>
    <w:rsid w:val="00E94E4B"/>
    <w:rsid w:val="00E94F12"/>
    <w:rsid w:val="00EA5ED1"/>
    <w:rsid w:val="00EB1F84"/>
    <w:rsid w:val="00EB654F"/>
    <w:rsid w:val="00EB7FF9"/>
    <w:rsid w:val="00EC6566"/>
    <w:rsid w:val="00EC6653"/>
    <w:rsid w:val="00ED5108"/>
    <w:rsid w:val="00EE5ECF"/>
    <w:rsid w:val="00EF226B"/>
    <w:rsid w:val="00EF3D75"/>
    <w:rsid w:val="00EF7D01"/>
    <w:rsid w:val="00EF7ED4"/>
    <w:rsid w:val="00F00677"/>
    <w:rsid w:val="00F03D8C"/>
    <w:rsid w:val="00F15C7E"/>
    <w:rsid w:val="00F17074"/>
    <w:rsid w:val="00F2003F"/>
    <w:rsid w:val="00F371E7"/>
    <w:rsid w:val="00F42BB8"/>
    <w:rsid w:val="00F4478B"/>
    <w:rsid w:val="00F46E41"/>
    <w:rsid w:val="00F65105"/>
    <w:rsid w:val="00F713F8"/>
    <w:rsid w:val="00F77664"/>
    <w:rsid w:val="00F92222"/>
    <w:rsid w:val="00F96654"/>
    <w:rsid w:val="00FA0087"/>
    <w:rsid w:val="00FA0B6F"/>
    <w:rsid w:val="00FA0BD8"/>
    <w:rsid w:val="00FA3F76"/>
    <w:rsid w:val="00FC2657"/>
    <w:rsid w:val="00FC6750"/>
    <w:rsid w:val="00FD495C"/>
    <w:rsid w:val="00FD4FB7"/>
    <w:rsid w:val="00FE50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5FAA"/>
    <w:rPr>
      <w:sz w:val="24"/>
      <w:szCs w:val="24"/>
    </w:rPr>
  </w:style>
  <w:style w:type="paragraph" w:styleId="Heading1">
    <w:name w:val="heading 1"/>
    <w:basedOn w:val="Normal"/>
    <w:next w:val="Normal"/>
    <w:link w:val="Heading1Char"/>
    <w:uiPriority w:val="99"/>
    <w:qFormat/>
    <w:rsid w:val="00B542A0"/>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542A0"/>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8F2E58"/>
    <w:pPr>
      <w:numPr>
        <w:ilvl w:val="2"/>
        <w:numId w:val="8"/>
      </w:numPr>
      <w:spacing w:before="100" w:beforeAutospacing="1" w:after="100" w:afterAutospacing="1"/>
      <w:outlineLvl w:val="2"/>
    </w:pPr>
    <w:rPr>
      <w:rFonts w:ascii="Calibri" w:hAnsi="Calibri" w:cs="Calibri"/>
      <w:b/>
      <w:bCs/>
      <w:sz w:val="27"/>
      <w:szCs w:val="27"/>
    </w:rPr>
  </w:style>
  <w:style w:type="paragraph" w:styleId="Heading4">
    <w:name w:val="heading 4"/>
    <w:basedOn w:val="Normal"/>
    <w:next w:val="Normal"/>
    <w:link w:val="Heading4Char"/>
    <w:uiPriority w:val="99"/>
    <w:qFormat/>
    <w:rsid w:val="00B542A0"/>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9"/>
    <w:qFormat/>
    <w:rsid w:val="00B542A0"/>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9"/>
    <w:qFormat/>
    <w:rsid w:val="00B542A0"/>
    <w:pPr>
      <w:numPr>
        <w:ilvl w:val="5"/>
        <w:numId w:val="8"/>
      </w:numPr>
      <w:spacing w:before="240" w:after="60"/>
      <w:outlineLvl w:val="5"/>
    </w:pPr>
    <w:rPr>
      <w:b/>
      <w:bCs/>
      <w:sz w:val="22"/>
      <w:szCs w:val="22"/>
    </w:rPr>
  </w:style>
  <w:style w:type="paragraph" w:styleId="Heading7">
    <w:name w:val="heading 7"/>
    <w:basedOn w:val="Normal"/>
    <w:next w:val="Normal"/>
    <w:link w:val="Heading7Char"/>
    <w:uiPriority w:val="99"/>
    <w:qFormat/>
    <w:rsid w:val="00B542A0"/>
    <w:pPr>
      <w:numPr>
        <w:ilvl w:val="6"/>
        <w:numId w:val="8"/>
      </w:numPr>
      <w:spacing w:before="240" w:after="60"/>
      <w:outlineLvl w:val="6"/>
    </w:pPr>
  </w:style>
  <w:style w:type="paragraph" w:styleId="Heading8">
    <w:name w:val="heading 8"/>
    <w:basedOn w:val="Normal"/>
    <w:next w:val="Normal"/>
    <w:link w:val="Heading8Char"/>
    <w:uiPriority w:val="99"/>
    <w:qFormat/>
    <w:rsid w:val="00B542A0"/>
    <w:pPr>
      <w:numPr>
        <w:ilvl w:val="7"/>
        <w:numId w:val="8"/>
      </w:numPr>
      <w:spacing w:before="240" w:after="60"/>
      <w:outlineLvl w:val="7"/>
    </w:pPr>
    <w:rPr>
      <w:i/>
      <w:iCs/>
    </w:rPr>
  </w:style>
  <w:style w:type="paragraph" w:styleId="Heading9">
    <w:name w:val="heading 9"/>
    <w:basedOn w:val="Normal"/>
    <w:next w:val="Normal"/>
    <w:link w:val="Heading9Char"/>
    <w:uiPriority w:val="99"/>
    <w:qFormat/>
    <w:rsid w:val="00B542A0"/>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F2E58"/>
    <w:rPr>
      <w:rFonts w:ascii="Calibri" w:hAnsi="Calibri" w:cs="Calibri"/>
      <w:b/>
      <w:bCs/>
      <w:sz w:val="27"/>
      <w:szCs w:val="27"/>
      <w:lang w:val="it-IT" w:eastAsia="it-IT"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author">
    <w:name w:val="author"/>
    <w:basedOn w:val="Normal"/>
    <w:next w:val="affiliation"/>
    <w:uiPriority w:val="99"/>
    <w:rsid w:val="00D20D85"/>
    <w:pPr>
      <w:spacing w:before="120"/>
    </w:pPr>
    <w:rPr>
      <w:lang w:val="en-GB"/>
    </w:rPr>
  </w:style>
  <w:style w:type="paragraph" w:customStyle="1" w:styleId="affiliation">
    <w:name w:val="affiliation"/>
    <w:basedOn w:val="Normal"/>
    <w:next w:val="phone"/>
    <w:uiPriority w:val="99"/>
    <w:rsid w:val="00D20D85"/>
    <w:pPr>
      <w:spacing w:before="120"/>
    </w:pPr>
    <w:rPr>
      <w:i/>
      <w:lang w:val="en-GB"/>
    </w:rPr>
  </w:style>
  <w:style w:type="paragraph" w:customStyle="1" w:styleId="phone">
    <w:name w:val="phone"/>
    <w:basedOn w:val="Normal"/>
    <w:next w:val="Normal"/>
    <w:uiPriority w:val="99"/>
    <w:rsid w:val="00D20D85"/>
    <w:pPr>
      <w:spacing w:before="120"/>
    </w:pPr>
    <w:rPr>
      <w:sz w:val="20"/>
      <w:lang w:val="en-GB"/>
    </w:rPr>
  </w:style>
  <w:style w:type="paragraph" w:customStyle="1" w:styleId="keywords">
    <w:name w:val="keywords"/>
    <w:basedOn w:val="Normal"/>
    <w:next w:val="Normal"/>
    <w:uiPriority w:val="99"/>
    <w:rsid w:val="00D20D85"/>
    <w:pPr>
      <w:spacing w:before="120"/>
    </w:pPr>
    <w:rPr>
      <w:i/>
      <w:lang w:val="en-GB"/>
    </w:rPr>
  </w:style>
  <w:style w:type="character" w:styleId="Hyperlink">
    <w:name w:val="Hyperlink"/>
    <w:basedOn w:val="DefaultParagraphFont"/>
    <w:uiPriority w:val="99"/>
    <w:rsid w:val="00D20D85"/>
    <w:rPr>
      <w:rFonts w:cs="Times New Roman"/>
      <w:color w:val="0000FF"/>
      <w:u w:val="single"/>
    </w:rPr>
  </w:style>
  <w:style w:type="paragraph" w:customStyle="1" w:styleId="Papertitle">
    <w:name w:val="Paper title"/>
    <w:basedOn w:val="Normal"/>
    <w:next w:val="author"/>
    <w:uiPriority w:val="99"/>
    <w:rsid w:val="00D20D85"/>
    <w:pPr>
      <w:suppressAutoHyphens/>
      <w:spacing w:after="454"/>
    </w:pPr>
    <w:rPr>
      <w:rFonts w:cs="NimbusRomNo9L-Medi"/>
      <w:b/>
      <w:sz w:val="30"/>
      <w:szCs w:val="32"/>
      <w:lang w:eastAsia="ar-SA"/>
    </w:rPr>
  </w:style>
  <w:style w:type="paragraph" w:customStyle="1" w:styleId="Maintext">
    <w:name w:val="Main text"/>
    <w:basedOn w:val="Normal"/>
    <w:uiPriority w:val="99"/>
    <w:rsid w:val="00D20D85"/>
    <w:pPr>
      <w:suppressAutoHyphens/>
      <w:jc w:val="both"/>
    </w:pPr>
    <w:rPr>
      <w:sz w:val="18"/>
      <w:szCs w:val="20"/>
      <w:lang w:val="en-GB" w:eastAsia="ar-SA"/>
    </w:rPr>
  </w:style>
  <w:style w:type="paragraph" w:styleId="DocumentMap">
    <w:name w:val="Document Map"/>
    <w:basedOn w:val="Normal"/>
    <w:link w:val="DocumentMapChar"/>
    <w:uiPriority w:val="99"/>
    <w:semiHidden/>
    <w:rsid w:val="00D20D8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customStyle="1" w:styleId="hps">
    <w:name w:val="hps"/>
    <w:basedOn w:val="DefaultParagraphFont"/>
    <w:uiPriority w:val="99"/>
    <w:rsid w:val="003B579A"/>
    <w:rPr>
      <w:rFonts w:cs="Times New Roman"/>
    </w:rPr>
  </w:style>
  <w:style w:type="paragraph" w:styleId="FootnoteText">
    <w:name w:val="footnote text"/>
    <w:basedOn w:val="Normal"/>
    <w:link w:val="FootnoteTextChar"/>
    <w:uiPriority w:val="99"/>
    <w:semiHidden/>
    <w:rsid w:val="00BF41EB"/>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BF41EB"/>
    <w:rPr>
      <w:rFonts w:cs="Times New Roman"/>
      <w:vertAlign w:val="superscript"/>
    </w:rPr>
  </w:style>
  <w:style w:type="paragraph" w:styleId="Footer">
    <w:name w:val="footer"/>
    <w:basedOn w:val="Normal"/>
    <w:link w:val="FooterChar"/>
    <w:uiPriority w:val="99"/>
    <w:rsid w:val="00600E60"/>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00E60"/>
    <w:rPr>
      <w:rFonts w:cs="Times New Roman"/>
    </w:rPr>
  </w:style>
  <w:style w:type="paragraph" w:styleId="BodyText2">
    <w:name w:val="Body Text 2"/>
    <w:basedOn w:val="Normal"/>
    <w:link w:val="BodyText2Char"/>
    <w:uiPriority w:val="99"/>
    <w:rsid w:val="008079B7"/>
    <w:pPr>
      <w:spacing w:after="120" w:line="480" w:lineRule="auto"/>
    </w:pPr>
  </w:style>
  <w:style w:type="character" w:customStyle="1" w:styleId="BodyText2Char">
    <w:name w:val="Body Text 2 Char"/>
    <w:basedOn w:val="DefaultParagraphFont"/>
    <w:link w:val="BodyText2"/>
    <w:uiPriority w:val="99"/>
    <w:locked/>
    <w:rsid w:val="008079B7"/>
    <w:rPr>
      <w:rFonts w:cs="Times New Roman"/>
      <w:sz w:val="24"/>
    </w:rPr>
  </w:style>
  <w:style w:type="paragraph" w:styleId="BodyText3">
    <w:name w:val="Body Text 3"/>
    <w:basedOn w:val="Normal"/>
    <w:link w:val="BodyText3Char"/>
    <w:uiPriority w:val="99"/>
    <w:rsid w:val="00695042"/>
    <w:pPr>
      <w:spacing w:after="120"/>
    </w:pPr>
    <w:rPr>
      <w:sz w:val="16"/>
      <w:szCs w:val="16"/>
    </w:rPr>
  </w:style>
  <w:style w:type="character" w:customStyle="1" w:styleId="BodyText3Char">
    <w:name w:val="Body Text 3 Char"/>
    <w:basedOn w:val="DefaultParagraphFont"/>
    <w:link w:val="BodyText3"/>
    <w:uiPriority w:val="99"/>
    <w:locked/>
    <w:rsid w:val="00695042"/>
    <w:rPr>
      <w:rFonts w:cs="Times New Roman"/>
      <w:sz w:val="16"/>
    </w:rPr>
  </w:style>
  <w:style w:type="paragraph" w:customStyle="1" w:styleId="genericpage">
    <w:name w:val="generic_page"/>
    <w:basedOn w:val="Normal"/>
    <w:uiPriority w:val="99"/>
    <w:rsid w:val="00A143EC"/>
    <w:pPr>
      <w:spacing w:before="100" w:beforeAutospacing="1" w:after="100" w:afterAutospacing="1"/>
    </w:pPr>
  </w:style>
  <w:style w:type="character" w:customStyle="1" w:styleId="BodyTextChar">
    <w:name w:val="Body Text Char"/>
    <w:link w:val="BodyText"/>
    <w:uiPriority w:val="99"/>
    <w:semiHidden/>
    <w:locked/>
    <w:rsid w:val="008F2E58"/>
    <w:rPr>
      <w:rFonts w:ascii="Garamond" w:hAnsi="Garamond" w:cs="Garamond"/>
      <w:spacing w:val="-2"/>
      <w:sz w:val="24"/>
      <w:szCs w:val="24"/>
      <w:lang w:val="it-IT" w:eastAsia="en-US" w:bidi="ar-SA"/>
    </w:rPr>
  </w:style>
  <w:style w:type="paragraph" w:styleId="BodyText">
    <w:name w:val="Body Text"/>
    <w:basedOn w:val="Normal"/>
    <w:link w:val="BodyTextChar1"/>
    <w:uiPriority w:val="99"/>
    <w:rsid w:val="008F2E58"/>
    <w:pPr>
      <w:tabs>
        <w:tab w:val="right" w:pos="8640"/>
      </w:tabs>
      <w:spacing w:after="280" w:line="360" w:lineRule="auto"/>
      <w:jc w:val="both"/>
    </w:pPr>
    <w:rPr>
      <w:rFonts w:ascii="Garamond" w:hAnsi="Garamond" w:cs="Garamond"/>
      <w:spacing w:val="-2"/>
      <w:lang w:eastAsia="en-US"/>
    </w:rPr>
  </w:style>
  <w:style w:type="character" w:customStyle="1" w:styleId="BodyTextChar1">
    <w:name w:val="Body Text Char1"/>
    <w:basedOn w:val="DefaultParagraphFont"/>
    <w:link w:val="BodyText"/>
    <w:uiPriority w:val="99"/>
    <w:semiHidden/>
    <w:locked/>
    <w:rPr>
      <w:rFonts w:cs="Times New Roman"/>
      <w:sz w:val="24"/>
      <w:szCs w:val="24"/>
    </w:rPr>
  </w:style>
  <w:style w:type="paragraph" w:customStyle="1" w:styleId="Affiliation0">
    <w:name w:val="Affiliation"/>
    <w:basedOn w:val="Normal"/>
    <w:uiPriority w:val="99"/>
    <w:rsid w:val="008F2E58"/>
    <w:pPr>
      <w:jc w:val="center"/>
    </w:pPr>
    <w:rPr>
      <w:lang w:val="en-US"/>
    </w:rPr>
  </w:style>
  <w:style w:type="paragraph" w:customStyle="1" w:styleId="Author0">
    <w:name w:val="Author"/>
    <w:basedOn w:val="Normal"/>
    <w:next w:val="Affiliation0"/>
    <w:uiPriority w:val="99"/>
    <w:rsid w:val="008F2E58"/>
    <w:pPr>
      <w:jc w:val="center"/>
    </w:pPr>
    <w:rPr>
      <w:sz w:val="28"/>
      <w:szCs w:val="28"/>
    </w:rPr>
  </w:style>
  <w:style w:type="character" w:customStyle="1" w:styleId="AffiliationCarattere">
    <w:name w:val="Affiliation Carattere"/>
    <w:basedOn w:val="DefaultParagraphFont"/>
    <w:uiPriority w:val="99"/>
    <w:rsid w:val="008F2E58"/>
    <w:rPr>
      <w:rFonts w:ascii="Times New Roman" w:hAnsi="Times New Roman" w:cs="Times New Roman"/>
      <w:sz w:val="24"/>
      <w:szCs w:val="24"/>
      <w:lang w:val="en-US" w:eastAsia="it-IT"/>
    </w:rPr>
  </w:style>
  <w:style w:type="character" w:customStyle="1" w:styleId="Keywordsheading">
    <w:name w:val="Keywords heading"/>
    <w:basedOn w:val="DefaultParagraphFont"/>
    <w:uiPriority w:val="99"/>
    <w:rsid w:val="008F2E58"/>
    <w:rPr>
      <w:rFonts w:ascii="Times New Roman" w:hAnsi="Times New Roman" w:cs="Times New Roman"/>
      <w:b/>
      <w:bCs/>
      <w:sz w:val="24"/>
      <w:szCs w:val="24"/>
      <w:lang w:val="en-US"/>
    </w:rPr>
  </w:style>
  <w:style w:type="paragraph" w:customStyle="1" w:styleId="Maintextfirstline">
    <w:name w:val="Main text: first line"/>
    <w:next w:val="Maintext"/>
    <w:uiPriority w:val="99"/>
    <w:rsid w:val="007F7FE7"/>
    <w:pPr>
      <w:suppressAutoHyphens/>
      <w:jc w:val="both"/>
    </w:pPr>
    <w:rPr>
      <w:sz w:val="18"/>
      <w:szCs w:val="20"/>
      <w:lang w:val="en-GB" w:eastAsia="ar-SA"/>
    </w:rPr>
  </w:style>
  <w:style w:type="paragraph" w:customStyle="1" w:styleId="SectionHeading">
    <w:name w:val="Section Heading"/>
    <w:basedOn w:val="Normal"/>
    <w:next w:val="Maintextfirstline"/>
    <w:uiPriority w:val="99"/>
    <w:rsid w:val="007F7FE7"/>
    <w:pPr>
      <w:tabs>
        <w:tab w:val="num" w:pos="360"/>
      </w:tabs>
      <w:suppressAutoHyphens/>
      <w:spacing w:before="624" w:after="340"/>
    </w:pPr>
    <w:rPr>
      <w:b/>
      <w:szCs w:val="20"/>
      <w:lang w:val="en-US" w:eastAsia="ar-SA"/>
    </w:rPr>
  </w:style>
  <w:style w:type="paragraph" w:customStyle="1" w:styleId="Referenceslist">
    <w:name w:val="References list"/>
    <w:basedOn w:val="Normal"/>
    <w:uiPriority w:val="99"/>
    <w:rsid w:val="009E3A04"/>
    <w:pPr>
      <w:numPr>
        <w:numId w:val="4"/>
      </w:numPr>
      <w:suppressAutoHyphens/>
      <w:jc w:val="both"/>
    </w:pPr>
    <w:rPr>
      <w:sz w:val="16"/>
      <w:szCs w:val="20"/>
      <w:lang w:val="en-US" w:eastAsia="ar-SA"/>
    </w:rPr>
  </w:style>
  <w:style w:type="paragraph" w:styleId="BalloonText">
    <w:name w:val="Balloon Text"/>
    <w:basedOn w:val="Normal"/>
    <w:link w:val="BalloonTextChar"/>
    <w:uiPriority w:val="99"/>
    <w:rsid w:val="00735465"/>
    <w:rPr>
      <w:rFonts w:ascii="Tahoma" w:hAnsi="Tahoma" w:cs="Tahoma"/>
      <w:sz w:val="16"/>
      <w:szCs w:val="16"/>
    </w:rPr>
  </w:style>
  <w:style w:type="character" w:customStyle="1" w:styleId="BalloonTextChar">
    <w:name w:val="Balloon Text Char"/>
    <w:basedOn w:val="DefaultParagraphFont"/>
    <w:link w:val="BalloonText"/>
    <w:uiPriority w:val="99"/>
    <w:locked/>
    <w:rsid w:val="00735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586676">
      <w:marLeft w:val="0"/>
      <w:marRight w:val="0"/>
      <w:marTop w:val="0"/>
      <w:marBottom w:val="0"/>
      <w:divBdr>
        <w:top w:val="none" w:sz="0" w:space="0" w:color="auto"/>
        <w:left w:val="none" w:sz="0" w:space="0" w:color="auto"/>
        <w:bottom w:val="none" w:sz="0" w:space="0" w:color="auto"/>
        <w:right w:val="none" w:sz="0" w:space="0" w:color="auto"/>
      </w:divBdr>
    </w:div>
    <w:div w:id="1076586679">
      <w:marLeft w:val="0"/>
      <w:marRight w:val="0"/>
      <w:marTop w:val="0"/>
      <w:marBottom w:val="0"/>
      <w:divBdr>
        <w:top w:val="none" w:sz="0" w:space="0" w:color="auto"/>
        <w:left w:val="none" w:sz="0" w:space="0" w:color="auto"/>
        <w:bottom w:val="none" w:sz="0" w:space="0" w:color="auto"/>
        <w:right w:val="none" w:sz="0" w:space="0" w:color="auto"/>
      </w:divBdr>
    </w:div>
    <w:div w:id="1076586680">
      <w:marLeft w:val="0"/>
      <w:marRight w:val="0"/>
      <w:marTop w:val="0"/>
      <w:marBottom w:val="0"/>
      <w:divBdr>
        <w:top w:val="none" w:sz="0" w:space="0" w:color="auto"/>
        <w:left w:val="none" w:sz="0" w:space="0" w:color="auto"/>
        <w:bottom w:val="none" w:sz="0" w:space="0" w:color="auto"/>
        <w:right w:val="none" w:sz="0" w:space="0" w:color="auto"/>
      </w:divBdr>
    </w:div>
    <w:div w:id="1076586681">
      <w:marLeft w:val="0"/>
      <w:marRight w:val="0"/>
      <w:marTop w:val="0"/>
      <w:marBottom w:val="0"/>
      <w:divBdr>
        <w:top w:val="none" w:sz="0" w:space="0" w:color="auto"/>
        <w:left w:val="none" w:sz="0" w:space="0" w:color="auto"/>
        <w:bottom w:val="none" w:sz="0" w:space="0" w:color="auto"/>
        <w:right w:val="none" w:sz="0" w:space="0" w:color="auto"/>
      </w:divBdr>
    </w:div>
    <w:div w:id="1076586683">
      <w:marLeft w:val="0"/>
      <w:marRight w:val="0"/>
      <w:marTop w:val="0"/>
      <w:marBottom w:val="0"/>
      <w:divBdr>
        <w:top w:val="none" w:sz="0" w:space="0" w:color="auto"/>
        <w:left w:val="none" w:sz="0" w:space="0" w:color="auto"/>
        <w:bottom w:val="none" w:sz="0" w:space="0" w:color="auto"/>
        <w:right w:val="none" w:sz="0" w:space="0" w:color="auto"/>
      </w:divBdr>
    </w:div>
    <w:div w:id="1076586686">
      <w:marLeft w:val="0"/>
      <w:marRight w:val="0"/>
      <w:marTop w:val="0"/>
      <w:marBottom w:val="0"/>
      <w:divBdr>
        <w:top w:val="none" w:sz="0" w:space="0" w:color="auto"/>
        <w:left w:val="none" w:sz="0" w:space="0" w:color="auto"/>
        <w:bottom w:val="none" w:sz="0" w:space="0" w:color="auto"/>
        <w:right w:val="none" w:sz="0" w:space="0" w:color="auto"/>
      </w:divBdr>
    </w:div>
    <w:div w:id="1076586688">
      <w:marLeft w:val="0"/>
      <w:marRight w:val="0"/>
      <w:marTop w:val="0"/>
      <w:marBottom w:val="0"/>
      <w:divBdr>
        <w:top w:val="none" w:sz="0" w:space="0" w:color="auto"/>
        <w:left w:val="none" w:sz="0" w:space="0" w:color="auto"/>
        <w:bottom w:val="none" w:sz="0" w:space="0" w:color="auto"/>
        <w:right w:val="none" w:sz="0" w:space="0" w:color="auto"/>
      </w:divBdr>
    </w:div>
    <w:div w:id="1076586689">
      <w:marLeft w:val="0"/>
      <w:marRight w:val="0"/>
      <w:marTop w:val="0"/>
      <w:marBottom w:val="0"/>
      <w:divBdr>
        <w:top w:val="none" w:sz="0" w:space="0" w:color="auto"/>
        <w:left w:val="none" w:sz="0" w:space="0" w:color="auto"/>
        <w:bottom w:val="none" w:sz="0" w:space="0" w:color="auto"/>
        <w:right w:val="none" w:sz="0" w:space="0" w:color="auto"/>
      </w:divBdr>
    </w:div>
    <w:div w:id="1076586691">
      <w:marLeft w:val="0"/>
      <w:marRight w:val="0"/>
      <w:marTop w:val="0"/>
      <w:marBottom w:val="0"/>
      <w:divBdr>
        <w:top w:val="none" w:sz="0" w:space="0" w:color="auto"/>
        <w:left w:val="none" w:sz="0" w:space="0" w:color="auto"/>
        <w:bottom w:val="none" w:sz="0" w:space="0" w:color="auto"/>
        <w:right w:val="none" w:sz="0" w:space="0" w:color="auto"/>
      </w:divBdr>
      <w:divsChild>
        <w:div w:id="1076586687">
          <w:marLeft w:val="0"/>
          <w:marRight w:val="0"/>
          <w:marTop w:val="0"/>
          <w:marBottom w:val="0"/>
          <w:divBdr>
            <w:top w:val="none" w:sz="0" w:space="0" w:color="auto"/>
            <w:left w:val="none" w:sz="0" w:space="0" w:color="auto"/>
            <w:bottom w:val="none" w:sz="0" w:space="0" w:color="auto"/>
            <w:right w:val="none" w:sz="0" w:space="0" w:color="auto"/>
          </w:divBdr>
          <w:divsChild>
            <w:div w:id="1076586675">
              <w:marLeft w:val="0"/>
              <w:marRight w:val="0"/>
              <w:marTop w:val="0"/>
              <w:marBottom w:val="0"/>
              <w:divBdr>
                <w:top w:val="none" w:sz="0" w:space="0" w:color="auto"/>
                <w:left w:val="none" w:sz="0" w:space="0" w:color="auto"/>
                <w:bottom w:val="none" w:sz="0" w:space="0" w:color="auto"/>
                <w:right w:val="none" w:sz="0" w:space="0" w:color="auto"/>
              </w:divBdr>
            </w:div>
            <w:div w:id="1076586677">
              <w:marLeft w:val="0"/>
              <w:marRight w:val="0"/>
              <w:marTop w:val="0"/>
              <w:marBottom w:val="0"/>
              <w:divBdr>
                <w:top w:val="none" w:sz="0" w:space="0" w:color="auto"/>
                <w:left w:val="none" w:sz="0" w:space="0" w:color="auto"/>
                <w:bottom w:val="none" w:sz="0" w:space="0" w:color="auto"/>
                <w:right w:val="none" w:sz="0" w:space="0" w:color="auto"/>
              </w:divBdr>
            </w:div>
            <w:div w:id="1076586678">
              <w:marLeft w:val="0"/>
              <w:marRight w:val="0"/>
              <w:marTop w:val="0"/>
              <w:marBottom w:val="0"/>
              <w:divBdr>
                <w:top w:val="none" w:sz="0" w:space="0" w:color="auto"/>
                <w:left w:val="none" w:sz="0" w:space="0" w:color="auto"/>
                <w:bottom w:val="none" w:sz="0" w:space="0" w:color="auto"/>
                <w:right w:val="none" w:sz="0" w:space="0" w:color="auto"/>
              </w:divBdr>
            </w:div>
            <w:div w:id="1076586682">
              <w:marLeft w:val="0"/>
              <w:marRight w:val="0"/>
              <w:marTop w:val="0"/>
              <w:marBottom w:val="0"/>
              <w:divBdr>
                <w:top w:val="none" w:sz="0" w:space="0" w:color="auto"/>
                <w:left w:val="none" w:sz="0" w:space="0" w:color="auto"/>
                <w:bottom w:val="none" w:sz="0" w:space="0" w:color="auto"/>
                <w:right w:val="none" w:sz="0" w:space="0" w:color="auto"/>
              </w:divBdr>
            </w:div>
            <w:div w:id="1076586684">
              <w:marLeft w:val="0"/>
              <w:marRight w:val="0"/>
              <w:marTop w:val="0"/>
              <w:marBottom w:val="0"/>
              <w:divBdr>
                <w:top w:val="none" w:sz="0" w:space="0" w:color="auto"/>
                <w:left w:val="none" w:sz="0" w:space="0" w:color="auto"/>
                <w:bottom w:val="none" w:sz="0" w:space="0" w:color="auto"/>
                <w:right w:val="none" w:sz="0" w:space="0" w:color="auto"/>
              </w:divBdr>
            </w:div>
            <w:div w:id="1076586685">
              <w:marLeft w:val="0"/>
              <w:marRight w:val="0"/>
              <w:marTop w:val="0"/>
              <w:marBottom w:val="0"/>
              <w:divBdr>
                <w:top w:val="none" w:sz="0" w:space="0" w:color="auto"/>
                <w:left w:val="none" w:sz="0" w:space="0" w:color="auto"/>
                <w:bottom w:val="none" w:sz="0" w:space="0" w:color="auto"/>
                <w:right w:val="none" w:sz="0" w:space="0" w:color="auto"/>
              </w:divBdr>
            </w:div>
            <w:div w:id="1076586690">
              <w:marLeft w:val="0"/>
              <w:marRight w:val="0"/>
              <w:marTop w:val="0"/>
              <w:marBottom w:val="0"/>
              <w:divBdr>
                <w:top w:val="none" w:sz="0" w:space="0" w:color="auto"/>
                <w:left w:val="none" w:sz="0" w:space="0" w:color="auto"/>
                <w:bottom w:val="none" w:sz="0" w:space="0" w:color="auto"/>
                <w:right w:val="none" w:sz="0" w:space="0" w:color="auto"/>
              </w:divBdr>
            </w:div>
            <w:div w:id="1076586693">
              <w:marLeft w:val="0"/>
              <w:marRight w:val="0"/>
              <w:marTop w:val="0"/>
              <w:marBottom w:val="0"/>
              <w:divBdr>
                <w:top w:val="none" w:sz="0" w:space="0" w:color="auto"/>
                <w:left w:val="none" w:sz="0" w:space="0" w:color="auto"/>
                <w:bottom w:val="none" w:sz="0" w:space="0" w:color="auto"/>
                <w:right w:val="none" w:sz="0" w:space="0" w:color="auto"/>
              </w:divBdr>
            </w:div>
            <w:div w:id="10765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6692">
      <w:marLeft w:val="0"/>
      <w:marRight w:val="0"/>
      <w:marTop w:val="0"/>
      <w:marBottom w:val="0"/>
      <w:divBdr>
        <w:top w:val="none" w:sz="0" w:space="0" w:color="auto"/>
        <w:left w:val="none" w:sz="0" w:space="0" w:color="auto"/>
        <w:bottom w:val="none" w:sz="0" w:space="0" w:color="auto"/>
        <w:right w:val="none" w:sz="0" w:space="0" w:color="auto"/>
      </w:divBdr>
    </w:div>
    <w:div w:id="1076586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wmf"/><Relationship Id="rId107" Type="http://schemas.openxmlformats.org/officeDocument/2006/relationships/footer" Target="footer2.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image" Target="media/image48.wmf"/><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image" Target="media/image42.wmf"/><Relationship Id="rId95" Type="http://schemas.openxmlformats.org/officeDocument/2006/relationships/oleObject" Target="embeddings/oleObject43.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image" Target="media/image47.wmf"/><Relationship Id="rId105" Type="http://schemas.openxmlformats.org/officeDocument/2006/relationships/oleObject" Target="embeddings/oleObject48.bin"/><Relationship Id="rId8" Type="http://schemas.openxmlformats.org/officeDocument/2006/relationships/hyperlink" Target="mailto:angiola.pollastri@unimib.it" TargetMode="Externa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oleObject" Target="embeddings/oleObject42.bin"/><Relationship Id="rId98"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47.bin"/><Relationship Id="rId108"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oleObject" Target="embeddings/oleObject41.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footer" Target="footer1.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theme" Target="theme/theme1.xml"/><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oleObject" Target="embeddings/oleObject44.bin"/><Relationship Id="rId104" Type="http://schemas.openxmlformats.org/officeDocument/2006/relationships/image" Target="media/image49.wmf"/><Relationship Id="rId7" Type="http://schemas.openxmlformats.org/officeDocument/2006/relationships/hyperlink" Target="mailto:carlotta.galeone@unimi.it" TargetMode="External"/><Relationship Id="rId71" Type="http://schemas.openxmlformats.org/officeDocument/2006/relationships/image" Target="media/image32.wmf"/><Relationship Id="rId92" Type="http://schemas.openxmlformats.org/officeDocument/2006/relationships/image" Target="media/image4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8</Pages>
  <Words>2327</Words>
  <Characters>13267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trends and family tax treatment in Italay</dc:title>
  <dc:subject/>
  <dc:creator>Achille Vernizzi</dc:creator>
  <cp:keywords/>
  <dc:description/>
  <cp:lastModifiedBy>Angiola Pollastri</cp:lastModifiedBy>
  <cp:revision>8</cp:revision>
  <cp:lastPrinted>2012-09-27T10:12:00Z</cp:lastPrinted>
  <dcterms:created xsi:type="dcterms:W3CDTF">2013-02-11T10:14:00Z</dcterms:created>
  <dcterms:modified xsi:type="dcterms:W3CDTF">2013-10-04T15:59:00Z</dcterms:modified>
</cp:coreProperties>
</file>