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170" w:rsidRDefault="00B83170" w:rsidP="00B83170">
      <w:pPr>
        <w:spacing w:after="0" w:line="260" w:lineRule="exact"/>
        <w:ind w:firstLine="284"/>
        <w:jc w:val="both"/>
        <w:rPr>
          <w:rFonts w:ascii="Arial" w:hAnsi="Arial" w:cs="Arial"/>
          <w:b/>
          <w:sz w:val="36"/>
          <w:szCs w:val="36"/>
        </w:rPr>
      </w:pPr>
      <w:bookmarkStart w:id="0" w:name="_GoBack"/>
      <w:bookmarkEnd w:id="0"/>
    </w:p>
    <w:p w:rsidR="00B83170" w:rsidRPr="00954779" w:rsidRDefault="004013B7" w:rsidP="00954779">
      <w:pPr>
        <w:pStyle w:val="Titolocapitolo"/>
        <w:rPr>
          <w:bCs/>
        </w:rPr>
      </w:pPr>
      <w:r>
        <w:rPr>
          <w:bCs/>
        </w:rPr>
        <w:t xml:space="preserve">SINDACATO DEL GIUDICE </w:t>
      </w:r>
      <w:r w:rsidR="00B83170" w:rsidRPr="004013B7">
        <w:rPr>
          <w:bCs/>
        </w:rPr>
        <w:t xml:space="preserve">AMMINISTRATIVO E ATTI REGOLATORI DELL’AEEGSI </w:t>
      </w:r>
    </w:p>
    <w:p w:rsidR="00B83170" w:rsidRPr="00954779" w:rsidRDefault="00954779" w:rsidP="00954779">
      <w:pPr>
        <w:spacing w:before="536" w:after="768" w:line="205" w:lineRule="exact"/>
        <w:ind w:left="284" w:hanging="284"/>
        <w:jc w:val="both"/>
        <w:rPr>
          <w:rFonts w:ascii="Arial" w:eastAsia="Times New Roman" w:hAnsi="Arial"/>
          <w:b/>
          <w:color w:val="974726"/>
          <w:sz w:val="25"/>
          <w:szCs w:val="20"/>
          <w:lang w:eastAsia="it-IT"/>
        </w:rPr>
      </w:pPr>
      <w:r w:rsidRPr="00954779">
        <w:rPr>
          <w:rFonts w:ascii="Arial" w:hAnsi="Arial" w:cs="Arial"/>
          <w:b/>
          <w:smallCaps/>
          <w:color w:val="AE1F23"/>
          <w:sz w:val="18"/>
          <w:szCs w:val="18"/>
        </w:rPr>
        <w:t>Sommario</w:t>
      </w:r>
      <w:r w:rsidR="0030660B" w:rsidRPr="00954779">
        <w:rPr>
          <w:rFonts w:ascii="Arial" w:eastAsia="Times New Roman" w:hAnsi="Arial"/>
          <w:b/>
          <w:color w:val="974726"/>
          <w:sz w:val="18"/>
          <w:szCs w:val="18"/>
          <w:lang w:eastAsia="it-IT"/>
        </w:rPr>
        <w:t xml:space="preserve">: </w:t>
      </w:r>
      <w:r w:rsidR="0030660B" w:rsidRPr="00954779">
        <w:rPr>
          <w:rFonts w:ascii="Arial" w:eastAsia="Times New Roman" w:hAnsi="Arial"/>
          <w:sz w:val="18"/>
          <w:szCs w:val="20"/>
          <w:lang w:eastAsia="it-IT"/>
        </w:rPr>
        <w:t>1. Premessa: la difficoltà del sindacato sul potere regolatorio dell’AEEGSI. – 2. Il parametro legislativo: gli obiettivi del potere regolatorio. – 3. L’eccesso di potere: le figure sintomatiche utilizzate per sindacare la scelta tecnica.</w:t>
      </w:r>
      <w:r w:rsidR="00913F76" w:rsidRPr="00954779">
        <w:rPr>
          <w:rFonts w:ascii="Arial" w:eastAsia="Times New Roman" w:hAnsi="Arial"/>
          <w:sz w:val="18"/>
          <w:szCs w:val="20"/>
          <w:lang w:eastAsia="it-IT"/>
        </w:rPr>
        <w:t xml:space="preserve"> – 4. L’accesso al fatto. – 5.  La legalità formale nel potere regolatorio. La partecipazione e il dovere di motivazione. – 6. Il riflesso della specialità del potere regolatorio sul potere sanzionatorio. - 7. L’esecuzione del giudicato sul potere </w:t>
      </w:r>
      <w:r w:rsidR="00642F79">
        <w:rPr>
          <w:rFonts w:ascii="Arial" w:eastAsia="Times New Roman" w:hAnsi="Arial"/>
          <w:sz w:val="18"/>
          <w:szCs w:val="20"/>
          <w:lang w:eastAsia="it-IT"/>
        </w:rPr>
        <w:t>regolatorio</w:t>
      </w:r>
      <w:r w:rsidR="00913F76" w:rsidRPr="00954779">
        <w:rPr>
          <w:rFonts w:ascii="Arial" w:eastAsia="Times New Roman" w:hAnsi="Arial"/>
          <w:sz w:val="18"/>
          <w:szCs w:val="20"/>
          <w:lang w:eastAsia="it-IT"/>
        </w:rPr>
        <w:t>. – 8. Conclusioni.</w:t>
      </w:r>
    </w:p>
    <w:p w:rsidR="004013B7" w:rsidRPr="00954779" w:rsidRDefault="00733413" w:rsidP="00954779">
      <w:pPr>
        <w:pStyle w:val="Paragrafoelenco"/>
        <w:numPr>
          <w:ilvl w:val="0"/>
          <w:numId w:val="3"/>
        </w:numPr>
        <w:spacing w:before="640" w:after="384" w:line="290" w:lineRule="exact"/>
        <w:ind w:left="-40" w:hanging="357"/>
        <w:jc w:val="both"/>
        <w:rPr>
          <w:rFonts w:ascii="Arial" w:eastAsia="Times New Roman" w:hAnsi="Arial"/>
          <w:b/>
          <w:color w:val="974726"/>
          <w:sz w:val="25"/>
          <w:szCs w:val="20"/>
          <w:lang w:eastAsia="it-IT"/>
        </w:rPr>
      </w:pPr>
      <w:r w:rsidRPr="0030660B">
        <w:rPr>
          <w:rFonts w:ascii="Arial" w:eastAsia="Times New Roman" w:hAnsi="Arial"/>
          <w:b/>
          <w:color w:val="974726"/>
          <w:sz w:val="25"/>
          <w:szCs w:val="20"/>
          <w:lang w:eastAsia="it-IT"/>
        </w:rPr>
        <w:t>Premessa: l</w:t>
      </w:r>
      <w:r w:rsidR="00C30112" w:rsidRPr="0030660B">
        <w:rPr>
          <w:rFonts w:ascii="Arial" w:eastAsia="Times New Roman" w:hAnsi="Arial"/>
          <w:b/>
          <w:color w:val="974726"/>
          <w:sz w:val="25"/>
          <w:szCs w:val="20"/>
          <w:lang w:eastAsia="it-IT"/>
        </w:rPr>
        <w:t>a difficoltà del sindacato sul</w:t>
      </w:r>
      <w:r w:rsidR="0056075A" w:rsidRPr="0030660B">
        <w:rPr>
          <w:rFonts w:ascii="Arial" w:eastAsia="Times New Roman" w:hAnsi="Arial"/>
          <w:b/>
          <w:color w:val="974726"/>
          <w:sz w:val="25"/>
          <w:szCs w:val="20"/>
          <w:lang w:eastAsia="it-IT"/>
        </w:rPr>
        <w:t xml:space="preserve"> potere regolatorio</w:t>
      </w:r>
      <w:r w:rsidR="00335994" w:rsidRPr="0030660B">
        <w:rPr>
          <w:rFonts w:ascii="Arial" w:eastAsia="Times New Roman" w:hAnsi="Arial"/>
          <w:b/>
          <w:color w:val="974726"/>
          <w:sz w:val="25"/>
          <w:szCs w:val="20"/>
          <w:lang w:eastAsia="it-IT"/>
        </w:rPr>
        <w:t xml:space="preserve"> dell’AEEGSI</w:t>
      </w:r>
    </w:p>
    <w:p w:rsidR="00193DEA" w:rsidRPr="00B83170" w:rsidRDefault="009B4E0A" w:rsidP="00B83170">
      <w:pPr>
        <w:spacing w:after="0" w:line="260" w:lineRule="exact"/>
        <w:ind w:firstLine="284"/>
        <w:jc w:val="both"/>
        <w:rPr>
          <w:rFonts w:ascii="Arial" w:hAnsi="Arial" w:cs="Arial"/>
        </w:rPr>
      </w:pPr>
      <w:r w:rsidRPr="00B83170">
        <w:rPr>
          <w:rFonts w:ascii="Arial" w:hAnsi="Arial" w:cs="Arial"/>
        </w:rPr>
        <w:t>Come è noto, tratto caratteristico del potere di regolazione</w:t>
      </w:r>
      <w:r w:rsidR="00DF1972" w:rsidRPr="00B83170">
        <w:rPr>
          <w:rFonts w:ascii="Arial" w:hAnsi="Arial" w:cs="Arial"/>
        </w:rPr>
        <w:t xml:space="preserve"> del mercato posto</w:t>
      </w:r>
      <w:r w:rsidRPr="00B83170">
        <w:rPr>
          <w:rFonts w:ascii="Arial" w:hAnsi="Arial" w:cs="Arial"/>
        </w:rPr>
        <w:t xml:space="preserve"> </w:t>
      </w:r>
      <w:r w:rsidR="00DF1972" w:rsidRPr="00B83170">
        <w:rPr>
          <w:rFonts w:ascii="Arial" w:hAnsi="Arial" w:cs="Arial"/>
        </w:rPr>
        <w:t>in capo all’</w:t>
      </w:r>
      <w:r w:rsidR="00365C41" w:rsidRPr="00B83170">
        <w:rPr>
          <w:rFonts w:ascii="Arial" w:hAnsi="Arial" w:cs="Arial"/>
        </w:rPr>
        <w:t>AEEG</w:t>
      </w:r>
      <w:r w:rsidR="00365C41" w:rsidRPr="00B83170">
        <w:rPr>
          <w:rStyle w:val="Rimandonotaapidipagina"/>
          <w:rFonts w:ascii="Arial" w:hAnsi="Arial" w:cs="Arial"/>
        </w:rPr>
        <w:footnoteReference w:id="1"/>
      </w:r>
      <w:r w:rsidR="00365C41" w:rsidRPr="00B83170">
        <w:rPr>
          <w:rFonts w:ascii="Arial" w:hAnsi="Arial" w:cs="Arial"/>
        </w:rPr>
        <w:t xml:space="preserve">, e più in generale </w:t>
      </w:r>
      <w:r w:rsidR="00DF1972" w:rsidRPr="00B83170">
        <w:rPr>
          <w:rFonts w:ascii="Arial" w:hAnsi="Arial" w:cs="Arial"/>
        </w:rPr>
        <w:t>a</w:t>
      </w:r>
      <w:r w:rsidRPr="00B83170">
        <w:rPr>
          <w:rFonts w:ascii="Arial" w:hAnsi="Arial" w:cs="Arial"/>
        </w:rPr>
        <w:t xml:space="preserve">lle </w:t>
      </w:r>
      <w:r w:rsidRPr="00B83170">
        <w:rPr>
          <w:rFonts w:ascii="Arial" w:hAnsi="Arial" w:cs="Arial"/>
          <w:i/>
        </w:rPr>
        <w:t>Aut</w:t>
      </w:r>
      <w:r w:rsidR="00074CB9" w:rsidRPr="00B83170">
        <w:rPr>
          <w:rFonts w:ascii="Arial" w:hAnsi="Arial" w:cs="Arial"/>
          <w:i/>
        </w:rPr>
        <w:t>h</w:t>
      </w:r>
      <w:r w:rsidRPr="00B83170">
        <w:rPr>
          <w:rFonts w:ascii="Arial" w:hAnsi="Arial" w:cs="Arial"/>
          <w:i/>
        </w:rPr>
        <w:t>orities</w:t>
      </w:r>
      <w:r w:rsidRPr="00B83170">
        <w:rPr>
          <w:rFonts w:ascii="Arial" w:hAnsi="Arial" w:cs="Arial"/>
        </w:rPr>
        <w:t xml:space="preserve"> operanti </w:t>
      </w:r>
      <w:r w:rsidR="00365C41" w:rsidRPr="00B83170">
        <w:rPr>
          <w:rFonts w:ascii="Arial" w:hAnsi="Arial" w:cs="Arial"/>
        </w:rPr>
        <w:t xml:space="preserve">nei servizi di pubblica utilità, </w:t>
      </w:r>
      <w:r w:rsidRPr="00B83170">
        <w:rPr>
          <w:rFonts w:ascii="Arial" w:hAnsi="Arial" w:cs="Arial"/>
        </w:rPr>
        <w:t>è la scarsa pregnanza del principio di legalità sostanziale</w:t>
      </w:r>
      <w:r w:rsidR="0082221C" w:rsidRPr="00B83170">
        <w:rPr>
          <w:rFonts w:ascii="Arial" w:hAnsi="Arial" w:cs="Arial"/>
        </w:rPr>
        <w:t xml:space="preserve"> che ne guida l’esercizio</w:t>
      </w:r>
      <w:r w:rsidR="00386F93" w:rsidRPr="00B83170">
        <w:rPr>
          <w:rStyle w:val="Rimandonotaapidipagina"/>
          <w:rFonts w:ascii="Arial" w:hAnsi="Arial" w:cs="Arial"/>
        </w:rPr>
        <w:footnoteReference w:id="2"/>
      </w:r>
      <w:r w:rsidR="00193DEA" w:rsidRPr="00B83170">
        <w:rPr>
          <w:rFonts w:ascii="Arial" w:hAnsi="Arial" w:cs="Arial"/>
        </w:rPr>
        <w:t>.</w:t>
      </w:r>
    </w:p>
    <w:p w:rsidR="009B4E0A" w:rsidRPr="00B83170" w:rsidRDefault="00193DEA" w:rsidP="00B83170">
      <w:pPr>
        <w:spacing w:after="0" w:line="260" w:lineRule="exact"/>
        <w:ind w:firstLine="284"/>
        <w:jc w:val="both"/>
        <w:rPr>
          <w:rFonts w:ascii="Arial" w:hAnsi="Arial" w:cs="Arial"/>
        </w:rPr>
      </w:pPr>
      <w:r w:rsidRPr="00B83170">
        <w:rPr>
          <w:rFonts w:ascii="Arial" w:hAnsi="Arial" w:cs="Arial"/>
        </w:rPr>
        <w:t>Ciò</w:t>
      </w:r>
      <w:r w:rsidR="002B6C08" w:rsidRPr="00B83170">
        <w:rPr>
          <w:rFonts w:ascii="Arial" w:hAnsi="Arial" w:cs="Arial"/>
        </w:rPr>
        <w:t xml:space="preserve"> ha comportato la centralità del</w:t>
      </w:r>
      <w:r w:rsidR="009B4E0A" w:rsidRPr="00B83170">
        <w:rPr>
          <w:rFonts w:ascii="Arial" w:hAnsi="Arial" w:cs="Arial"/>
        </w:rPr>
        <w:t xml:space="preserve">l’opera ricostruttiva della giurisprudenza nella definizione dello statuto del potere </w:t>
      </w:r>
      <w:r w:rsidR="00365C41" w:rsidRPr="00B83170">
        <w:rPr>
          <w:rFonts w:ascii="Arial" w:hAnsi="Arial" w:cs="Arial"/>
        </w:rPr>
        <w:t>in questione</w:t>
      </w:r>
      <w:r w:rsidR="00C90BCF" w:rsidRPr="00B83170">
        <w:rPr>
          <w:rFonts w:ascii="Arial" w:hAnsi="Arial" w:cs="Arial"/>
        </w:rPr>
        <w:t xml:space="preserve">, che </w:t>
      </w:r>
      <w:r w:rsidR="002B6C08" w:rsidRPr="00B83170">
        <w:rPr>
          <w:rFonts w:ascii="Arial" w:hAnsi="Arial" w:cs="Arial"/>
        </w:rPr>
        <w:t>n</w:t>
      </w:r>
      <w:r w:rsidR="009B4E0A" w:rsidRPr="00B83170">
        <w:rPr>
          <w:rFonts w:ascii="Arial" w:hAnsi="Arial" w:cs="Arial"/>
        </w:rPr>
        <w:t>el corso degli anni si è concentrata su tre principali problematiche, ovverosia: il fondamento del potere regolatorio, il ruolo della partecipazione procedimentale nella definizione della scelta regolatoria</w:t>
      </w:r>
      <w:r w:rsidR="005F673B" w:rsidRPr="00B83170">
        <w:rPr>
          <w:rFonts w:ascii="Arial" w:hAnsi="Arial" w:cs="Arial"/>
        </w:rPr>
        <w:t xml:space="preserve"> (come contraltare alla caduta della legalità sostanziale)</w:t>
      </w:r>
      <w:r w:rsidR="009B4E0A" w:rsidRPr="00B83170">
        <w:rPr>
          <w:rFonts w:ascii="Arial" w:hAnsi="Arial" w:cs="Arial"/>
        </w:rPr>
        <w:t xml:space="preserve">, </w:t>
      </w:r>
      <w:r w:rsidR="002B6C08" w:rsidRPr="00B83170">
        <w:rPr>
          <w:rFonts w:ascii="Arial" w:hAnsi="Arial" w:cs="Arial"/>
        </w:rPr>
        <w:t>l’intensità del</w:t>
      </w:r>
      <w:r w:rsidR="00365C41" w:rsidRPr="00B83170">
        <w:rPr>
          <w:rFonts w:ascii="Arial" w:hAnsi="Arial" w:cs="Arial"/>
        </w:rPr>
        <w:t xml:space="preserve"> sindacato esercitabile dal G.A. </w:t>
      </w:r>
    </w:p>
    <w:p w:rsidR="007F27F9" w:rsidRPr="00B83170" w:rsidRDefault="00DD49B2" w:rsidP="00B83170">
      <w:pPr>
        <w:spacing w:after="0" w:line="260" w:lineRule="exact"/>
        <w:ind w:firstLine="284"/>
        <w:jc w:val="both"/>
        <w:rPr>
          <w:rFonts w:ascii="Arial" w:hAnsi="Arial" w:cs="Arial"/>
        </w:rPr>
      </w:pPr>
      <w:r w:rsidRPr="00B83170">
        <w:rPr>
          <w:rFonts w:ascii="Arial" w:hAnsi="Arial" w:cs="Arial"/>
        </w:rPr>
        <w:t>Il primo aspetto è stato affrontato soprattutto nei primi anni di operatività dell’Autorità</w:t>
      </w:r>
      <w:r w:rsidR="0066240B" w:rsidRPr="00B83170">
        <w:rPr>
          <w:rFonts w:ascii="Arial" w:hAnsi="Arial" w:cs="Arial"/>
        </w:rPr>
        <w:t xml:space="preserve">, </w:t>
      </w:r>
      <w:r w:rsidR="00917C49" w:rsidRPr="00B83170">
        <w:rPr>
          <w:rFonts w:ascii="Arial" w:hAnsi="Arial" w:cs="Arial"/>
        </w:rPr>
        <w:t xml:space="preserve">quando, in ragione della vaghezza della norma attributiva del potere, </w:t>
      </w:r>
      <w:r w:rsidR="0066240B" w:rsidRPr="00B83170">
        <w:rPr>
          <w:rFonts w:ascii="Arial" w:hAnsi="Arial" w:cs="Arial"/>
        </w:rPr>
        <w:t>le censure dei regolati si appuntavano prevalentemente sull’insussistenza del potere di intervento</w:t>
      </w:r>
      <w:r w:rsidR="002D72E4" w:rsidRPr="00B83170">
        <w:rPr>
          <w:rStyle w:val="Rimandonotaapidipagina"/>
          <w:rFonts w:ascii="Arial" w:hAnsi="Arial" w:cs="Arial"/>
        </w:rPr>
        <w:footnoteReference w:id="3"/>
      </w:r>
      <w:r w:rsidR="007452C1" w:rsidRPr="00B83170">
        <w:rPr>
          <w:rFonts w:ascii="Arial" w:hAnsi="Arial" w:cs="Arial"/>
        </w:rPr>
        <w:t xml:space="preserve">. </w:t>
      </w:r>
    </w:p>
    <w:p w:rsidR="009770B6" w:rsidRPr="00B83170" w:rsidRDefault="00365C41" w:rsidP="00B83170">
      <w:pPr>
        <w:spacing w:after="0" w:line="260" w:lineRule="exact"/>
        <w:ind w:firstLine="284"/>
        <w:jc w:val="both"/>
        <w:rPr>
          <w:rFonts w:ascii="Arial" w:hAnsi="Arial" w:cs="Arial"/>
        </w:rPr>
      </w:pPr>
      <w:r w:rsidRPr="00B83170">
        <w:rPr>
          <w:rFonts w:ascii="Arial" w:hAnsi="Arial" w:cs="Arial"/>
        </w:rPr>
        <w:t>L’esame della giurisprudenza recente</w:t>
      </w:r>
      <w:r w:rsidR="00DD49B2" w:rsidRPr="00B83170">
        <w:rPr>
          <w:rFonts w:ascii="Arial" w:hAnsi="Arial" w:cs="Arial"/>
        </w:rPr>
        <w:t xml:space="preserve"> </w:t>
      </w:r>
      <w:r w:rsidRPr="00B83170">
        <w:rPr>
          <w:rFonts w:ascii="Arial" w:hAnsi="Arial" w:cs="Arial"/>
        </w:rPr>
        <w:t xml:space="preserve">mostra </w:t>
      </w:r>
      <w:r w:rsidR="00AA192E" w:rsidRPr="00B83170">
        <w:rPr>
          <w:rFonts w:ascii="Arial" w:hAnsi="Arial" w:cs="Arial"/>
        </w:rPr>
        <w:t xml:space="preserve">invece </w:t>
      </w:r>
      <w:r w:rsidR="00917C49" w:rsidRPr="00B83170">
        <w:rPr>
          <w:rFonts w:ascii="Arial" w:hAnsi="Arial" w:cs="Arial"/>
        </w:rPr>
        <w:t>come</w:t>
      </w:r>
      <w:r w:rsidRPr="00B83170">
        <w:rPr>
          <w:rFonts w:ascii="Arial" w:hAnsi="Arial" w:cs="Arial"/>
        </w:rPr>
        <w:t xml:space="preserve"> tale </w:t>
      </w:r>
      <w:r w:rsidR="00DD49B2" w:rsidRPr="00B83170">
        <w:rPr>
          <w:rFonts w:ascii="Arial" w:hAnsi="Arial" w:cs="Arial"/>
        </w:rPr>
        <w:t>questione</w:t>
      </w:r>
      <w:r w:rsidRPr="00B83170">
        <w:rPr>
          <w:rFonts w:ascii="Arial" w:hAnsi="Arial" w:cs="Arial"/>
        </w:rPr>
        <w:t xml:space="preserve"> non </w:t>
      </w:r>
      <w:r w:rsidR="00917C49" w:rsidRPr="00B83170">
        <w:rPr>
          <w:rFonts w:ascii="Arial" w:hAnsi="Arial" w:cs="Arial"/>
        </w:rPr>
        <w:t>sia</w:t>
      </w:r>
      <w:r w:rsidRPr="00B83170">
        <w:rPr>
          <w:rFonts w:ascii="Arial" w:hAnsi="Arial" w:cs="Arial"/>
        </w:rPr>
        <w:t xml:space="preserve"> più</w:t>
      </w:r>
      <w:r w:rsidR="007452C1" w:rsidRPr="00B83170">
        <w:rPr>
          <w:rFonts w:ascii="Arial" w:hAnsi="Arial" w:cs="Arial"/>
        </w:rPr>
        <w:t xml:space="preserve"> di stretta</w:t>
      </w:r>
      <w:r w:rsidRPr="00B83170">
        <w:rPr>
          <w:rFonts w:ascii="Arial" w:hAnsi="Arial" w:cs="Arial"/>
        </w:rPr>
        <w:t xml:space="preserve"> “attualità”</w:t>
      </w:r>
      <w:r w:rsidR="002B6C08" w:rsidRPr="00B83170">
        <w:rPr>
          <w:rFonts w:ascii="Arial" w:hAnsi="Arial" w:cs="Arial"/>
        </w:rPr>
        <w:t>, mentre invece</w:t>
      </w:r>
      <w:r w:rsidR="00386F93" w:rsidRPr="00B83170">
        <w:rPr>
          <w:rFonts w:ascii="Arial" w:hAnsi="Arial" w:cs="Arial"/>
        </w:rPr>
        <w:t xml:space="preserve"> </w:t>
      </w:r>
      <w:r w:rsidR="002B6C08" w:rsidRPr="00B83170">
        <w:rPr>
          <w:rFonts w:ascii="Arial" w:hAnsi="Arial" w:cs="Arial"/>
        </w:rPr>
        <w:t xml:space="preserve">risulti molto più spesso invocata </w:t>
      </w:r>
      <w:r w:rsidR="00F85874" w:rsidRPr="00B83170">
        <w:rPr>
          <w:rFonts w:ascii="Arial" w:hAnsi="Arial" w:cs="Arial"/>
        </w:rPr>
        <w:t>dagli operatori</w:t>
      </w:r>
      <w:r w:rsidR="009B4E0A" w:rsidRPr="00B83170">
        <w:rPr>
          <w:rFonts w:ascii="Arial" w:hAnsi="Arial" w:cs="Arial"/>
        </w:rPr>
        <w:t xml:space="preserve"> </w:t>
      </w:r>
      <w:r w:rsidR="002B6C08" w:rsidRPr="00B83170">
        <w:rPr>
          <w:rFonts w:ascii="Arial" w:hAnsi="Arial" w:cs="Arial"/>
        </w:rPr>
        <w:t>l’irragionevolezza delle</w:t>
      </w:r>
      <w:r w:rsidR="00C30112" w:rsidRPr="00B83170">
        <w:rPr>
          <w:rFonts w:ascii="Arial" w:hAnsi="Arial" w:cs="Arial"/>
        </w:rPr>
        <w:t xml:space="preserve"> </w:t>
      </w:r>
      <w:r w:rsidR="002B6C08" w:rsidRPr="00B83170">
        <w:rPr>
          <w:rFonts w:ascii="Arial" w:hAnsi="Arial" w:cs="Arial"/>
        </w:rPr>
        <w:t>regole costruite</w:t>
      </w:r>
      <w:r w:rsidR="00C30112" w:rsidRPr="00B83170">
        <w:rPr>
          <w:rFonts w:ascii="Arial" w:hAnsi="Arial" w:cs="Arial"/>
        </w:rPr>
        <w:t xml:space="preserve"> dall’AEEGSI</w:t>
      </w:r>
      <w:r w:rsidR="002B6C08" w:rsidRPr="00B83170">
        <w:rPr>
          <w:rFonts w:ascii="Arial" w:hAnsi="Arial" w:cs="Arial"/>
        </w:rPr>
        <w:t xml:space="preserve"> per rendere efficiente il mercato energetico</w:t>
      </w:r>
      <w:r w:rsidR="00C90BCF" w:rsidRPr="00B83170">
        <w:rPr>
          <w:rFonts w:ascii="Arial" w:hAnsi="Arial" w:cs="Arial"/>
        </w:rPr>
        <w:t xml:space="preserve"> (c.d. regolazione pro-concorrenziale)</w:t>
      </w:r>
      <w:r w:rsidR="00C30112" w:rsidRPr="00B83170">
        <w:rPr>
          <w:rFonts w:ascii="Arial" w:hAnsi="Arial" w:cs="Arial"/>
        </w:rPr>
        <w:t>.</w:t>
      </w:r>
    </w:p>
    <w:p w:rsidR="007A6DFC" w:rsidRPr="00B83170" w:rsidRDefault="002B6C08" w:rsidP="00B83170">
      <w:pPr>
        <w:spacing w:after="0" w:line="260" w:lineRule="exact"/>
        <w:ind w:firstLine="284"/>
        <w:jc w:val="both"/>
        <w:rPr>
          <w:rFonts w:ascii="Arial" w:hAnsi="Arial" w:cs="Arial"/>
        </w:rPr>
      </w:pPr>
      <w:r w:rsidRPr="00B83170">
        <w:rPr>
          <w:rFonts w:ascii="Arial" w:hAnsi="Arial" w:cs="Arial"/>
        </w:rPr>
        <w:t xml:space="preserve">Sennonché, </w:t>
      </w:r>
      <w:r w:rsidR="00FB2D68" w:rsidRPr="00B83170">
        <w:rPr>
          <w:rFonts w:ascii="Arial" w:hAnsi="Arial" w:cs="Arial"/>
        </w:rPr>
        <w:t xml:space="preserve">in tale ambito </w:t>
      </w:r>
      <w:r w:rsidR="00AA192E" w:rsidRPr="00B83170">
        <w:rPr>
          <w:rFonts w:ascii="Arial" w:hAnsi="Arial" w:cs="Arial"/>
        </w:rPr>
        <w:t>il largo</w:t>
      </w:r>
      <w:r w:rsidR="00C30112" w:rsidRPr="00B83170">
        <w:rPr>
          <w:rFonts w:ascii="Arial" w:hAnsi="Arial" w:cs="Arial"/>
        </w:rPr>
        <w:t xml:space="preserve"> margine di discrezionalità co</w:t>
      </w:r>
      <w:r w:rsidRPr="00B83170">
        <w:rPr>
          <w:rFonts w:ascii="Arial" w:hAnsi="Arial" w:cs="Arial"/>
        </w:rPr>
        <w:t xml:space="preserve">ncesso all’Autorità e </w:t>
      </w:r>
      <w:r w:rsidR="00C30112" w:rsidRPr="00B83170">
        <w:rPr>
          <w:rFonts w:ascii="Arial" w:hAnsi="Arial" w:cs="Arial"/>
        </w:rPr>
        <w:t>la tecnicità dell’oggetto della</w:t>
      </w:r>
      <w:r w:rsidRPr="00B83170">
        <w:rPr>
          <w:rFonts w:ascii="Arial" w:hAnsi="Arial" w:cs="Arial"/>
        </w:rPr>
        <w:t xml:space="preserve"> regolazione </w:t>
      </w:r>
      <w:r w:rsidR="00C30112" w:rsidRPr="00B83170">
        <w:rPr>
          <w:rFonts w:ascii="Arial" w:hAnsi="Arial" w:cs="Arial"/>
        </w:rPr>
        <w:t>rendono in qualche modo difficolto</w:t>
      </w:r>
      <w:r w:rsidR="00381825" w:rsidRPr="00B83170">
        <w:rPr>
          <w:rFonts w:ascii="Arial" w:hAnsi="Arial" w:cs="Arial"/>
        </w:rPr>
        <w:t>so il sindacato giurisdizionale; p</w:t>
      </w:r>
      <w:r w:rsidR="007A6DFC" w:rsidRPr="00B83170">
        <w:rPr>
          <w:rFonts w:ascii="Arial" w:hAnsi="Arial" w:cs="Arial"/>
        </w:rPr>
        <w:t xml:space="preserve">roblematicità accentuata </w:t>
      </w:r>
      <w:r w:rsidR="00762973" w:rsidRPr="00B83170">
        <w:rPr>
          <w:rFonts w:ascii="Arial" w:hAnsi="Arial" w:cs="Arial"/>
        </w:rPr>
        <w:t>dal fatto</w:t>
      </w:r>
      <w:r w:rsidR="00FC6F18" w:rsidRPr="00B83170">
        <w:rPr>
          <w:rFonts w:ascii="Arial" w:hAnsi="Arial" w:cs="Arial"/>
        </w:rPr>
        <w:t xml:space="preserve"> </w:t>
      </w:r>
      <w:r w:rsidR="007A6DFC" w:rsidRPr="00B83170">
        <w:rPr>
          <w:rFonts w:ascii="Arial" w:hAnsi="Arial" w:cs="Arial"/>
        </w:rPr>
        <w:lastRenderedPageBreak/>
        <w:t xml:space="preserve">che la giurisprudenza </w:t>
      </w:r>
      <w:r w:rsidR="00FC6F18" w:rsidRPr="00B83170">
        <w:rPr>
          <w:rFonts w:ascii="Arial" w:hAnsi="Arial" w:cs="Arial"/>
        </w:rPr>
        <w:t xml:space="preserve">pare non abbia </w:t>
      </w:r>
      <w:r w:rsidR="007A6DFC" w:rsidRPr="00B83170">
        <w:rPr>
          <w:rFonts w:ascii="Arial" w:hAnsi="Arial" w:cs="Arial"/>
        </w:rPr>
        <w:t>ancora preso una posizione chiara in ordine al</w:t>
      </w:r>
      <w:r w:rsidR="00FC6F18" w:rsidRPr="00B83170">
        <w:rPr>
          <w:rFonts w:ascii="Arial" w:hAnsi="Arial" w:cs="Arial"/>
        </w:rPr>
        <w:t xml:space="preserve">l’inquadramento </w:t>
      </w:r>
      <w:r w:rsidR="007A6DFC" w:rsidRPr="00B83170">
        <w:rPr>
          <w:rFonts w:ascii="Arial" w:hAnsi="Arial" w:cs="Arial"/>
        </w:rPr>
        <w:t xml:space="preserve">(quantomeno tendenziale) </w:t>
      </w:r>
      <w:r w:rsidR="00FC6F18" w:rsidRPr="00B83170">
        <w:rPr>
          <w:rFonts w:ascii="Arial" w:hAnsi="Arial" w:cs="Arial"/>
        </w:rPr>
        <w:t>dell’attività regolatoria</w:t>
      </w:r>
      <w:r w:rsidR="007A6DFC" w:rsidRPr="00B83170">
        <w:rPr>
          <w:rFonts w:ascii="Arial" w:hAnsi="Arial" w:cs="Arial"/>
        </w:rPr>
        <w:t xml:space="preserve"> nelle categorie classiche della discrezionalità amministrativa o </w:t>
      </w:r>
      <w:r w:rsidR="00FC6F18" w:rsidRPr="00B83170">
        <w:rPr>
          <w:rFonts w:ascii="Arial" w:hAnsi="Arial" w:cs="Arial"/>
        </w:rPr>
        <w:t xml:space="preserve">della </w:t>
      </w:r>
      <w:r w:rsidR="00F86CB7" w:rsidRPr="00B83170">
        <w:rPr>
          <w:rFonts w:ascii="Arial" w:hAnsi="Arial" w:cs="Arial"/>
        </w:rPr>
        <w:t>discrezionalità tecnica</w:t>
      </w:r>
      <w:r w:rsidR="00FC6F18" w:rsidRPr="00B83170">
        <w:rPr>
          <w:rStyle w:val="Rimandonotaapidipagina"/>
          <w:rFonts w:ascii="Arial" w:hAnsi="Arial" w:cs="Arial"/>
        </w:rPr>
        <w:footnoteReference w:id="4"/>
      </w:r>
      <w:r w:rsidR="00FC6F18" w:rsidRPr="00B83170">
        <w:rPr>
          <w:rFonts w:ascii="Arial" w:hAnsi="Arial" w:cs="Arial"/>
        </w:rPr>
        <w:t>.</w:t>
      </w:r>
      <w:r w:rsidR="007A6DFC" w:rsidRPr="00B83170">
        <w:rPr>
          <w:rFonts w:ascii="Arial" w:hAnsi="Arial" w:cs="Arial"/>
        </w:rPr>
        <w:t xml:space="preserve"> </w:t>
      </w:r>
    </w:p>
    <w:p w:rsidR="003D2681" w:rsidRDefault="00FC6F18" w:rsidP="00B83170">
      <w:pPr>
        <w:spacing w:after="0" w:line="260" w:lineRule="exact"/>
        <w:ind w:firstLine="284"/>
        <w:jc w:val="both"/>
        <w:rPr>
          <w:rFonts w:ascii="Arial" w:hAnsi="Arial" w:cs="Arial"/>
        </w:rPr>
      </w:pPr>
      <w:r w:rsidRPr="00B83170">
        <w:rPr>
          <w:rFonts w:ascii="Arial" w:hAnsi="Arial" w:cs="Arial"/>
        </w:rPr>
        <w:t>Ciò premesso</w:t>
      </w:r>
      <w:r w:rsidR="00381825" w:rsidRPr="00B83170">
        <w:rPr>
          <w:rFonts w:ascii="Arial" w:hAnsi="Arial" w:cs="Arial"/>
        </w:rPr>
        <w:t>,</w:t>
      </w:r>
      <w:r w:rsidRPr="00B83170">
        <w:rPr>
          <w:rFonts w:ascii="Arial" w:hAnsi="Arial" w:cs="Arial"/>
        </w:rPr>
        <w:t xml:space="preserve"> si è ritenuto</w:t>
      </w:r>
      <w:r w:rsidR="00FB2D68" w:rsidRPr="00B83170">
        <w:rPr>
          <w:rFonts w:ascii="Arial" w:hAnsi="Arial" w:cs="Arial"/>
        </w:rPr>
        <w:t xml:space="preserve"> </w:t>
      </w:r>
      <w:r w:rsidR="002B6C08" w:rsidRPr="00B83170">
        <w:rPr>
          <w:rFonts w:ascii="Arial" w:hAnsi="Arial" w:cs="Arial"/>
        </w:rPr>
        <w:t>di interesse</w:t>
      </w:r>
      <w:r w:rsidR="003D2681" w:rsidRPr="00B83170">
        <w:rPr>
          <w:rFonts w:ascii="Arial" w:hAnsi="Arial" w:cs="Arial"/>
        </w:rPr>
        <w:t xml:space="preserve"> esamina</w:t>
      </w:r>
      <w:r w:rsidR="002B6C08" w:rsidRPr="00B83170">
        <w:rPr>
          <w:rFonts w:ascii="Arial" w:hAnsi="Arial" w:cs="Arial"/>
        </w:rPr>
        <w:t>re</w:t>
      </w:r>
      <w:r w:rsidR="003D2681" w:rsidRPr="00B83170">
        <w:rPr>
          <w:rFonts w:ascii="Arial" w:hAnsi="Arial" w:cs="Arial"/>
        </w:rPr>
        <w:t xml:space="preserve"> alcuni recenti arresti pretori al fine di </w:t>
      </w:r>
      <w:r w:rsidR="00FB2D68" w:rsidRPr="00B83170">
        <w:rPr>
          <w:rFonts w:ascii="Arial" w:hAnsi="Arial" w:cs="Arial"/>
        </w:rPr>
        <w:t>cogliere</w:t>
      </w:r>
      <w:r w:rsidR="003D2681" w:rsidRPr="00B83170">
        <w:rPr>
          <w:rFonts w:ascii="Arial" w:hAnsi="Arial" w:cs="Arial"/>
        </w:rPr>
        <w:t xml:space="preserve"> </w:t>
      </w:r>
      <w:r w:rsidR="001059F2" w:rsidRPr="00B83170">
        <w:rPr>
          <w:rFonts w:ascii="Arial" w:hAnsi="Arial" w:cs="Arial"/>
        </w:rPr>
        <w:t xml:space="preserve">le tendenze </w:t>
      </w:r>
      <w:r w:rsidR="00FB2D68" w:rsidRPr="00B83170">
        <w:rPr>
          <w:rFonts w:ascii="Arial" w:hAnsi="Arial" w:cs="Arial"/>
        </w:rPr>
        <w:t xml:space="preserve">in atto nella giurisprudenza amministrativa relativamente </w:t>
      </w:r>
      <w:r w:rsidR="00193DEA" w:rsidRPr="00B83170">
        <w:rPr>
          <w:rFonts w:ascii="Arial" w:hAnsi="Arial" w:cs="Arial"/>
        </w:rPr>
        <w:t>ai margini di censurabilità del potere di regolazione del mercato energetico</w:t>
      </w:r>
      <w:r w:rsidRPr="00B83170">
        <w:rPr>
          <w:rFonts w:ascii="Arial" w:hAnsi="Arial" w:cs="Arial"/>
        </w:rPr>
        <w:t>.</w:t>
      </w:r>
    </w:p>
    <w:p w:rsidR="0030660B" w:rsidRPr="00B83170" w:rsidRDefault="0030660B" w:rsidP="00B83170">
      <w:pPr>
        <w:spacing w:after="0" w:line="260" w:lineRule="exact"/>
        <w:ind w:firstLine="284"/>
        <w:jc w:val="both"/>
        <w:rPr>
          <w:rFonts w:ascii="Arial" w:hAnsi="Arial" w:cs="Arial"/>
        </w:rPr>
      </w:pPr>
    </w:p>
    <w:p w:rsidR="0030660B" w:rsidRPr="00954779" w:rsidRDefault="00B667A7" w:rsidP="00954779">
      <w:pPr>
        <w:pStyle w:val="Paragrafoelenco"/>
        <w:numPr>
          <w:ilvl w:val="0"/>
          <w:numId w:val="3"/>
        </w:numPr>
        <w:spacing w:before="640" w:after="384" w:line="290" w:lineRule="exact"/>
        <w:ind w:left="-40" w:hanging="357"/>
        <w:jc w:val="both"/>
        <w:rPr>
          <w:rFonts w:ascii="Arial" w:eastAsia="Times New Roman" w:hAnsi="Arial"/>
          <w:b/>
          <w:color w:val="974726"/>
          <w:sz w:val="25"/>
          <w:szCs w:val="20"/>
          <w:lang w:eastAsia="it-IT"/>
        </w:rPr>
      </w:pPr>
      <w:r w:rsidRPr="0030660B">
        <w:rPr>
          <w:rFonts w:ascii="Arial" w:eastAsia="Times New Roman" w:hAnsi="Arial"/>
          <w:b/>
          <w:color w:val="974726"/>
          <w:sz w:val="25"/>
          <w:szCs w:val="20"/>
          <w:lang w:eastAsia="it-IT"/>
        </w:rPr>
        <w:t>Il parametro legislativo: gli o</w:t>
      </w:r>
      <w:r w:rsidR="004C214D">
        <w:rPr>
          <w:rFonts w:ascii="Arial" w:eastAsia="Times New Roman" w:hAnsi="Arial"/>
          <w:b/>
          <w:color w:val="974726"/>
          <w:sz w:val="25"/>
          <w:szCs w:val="20"/>
          <w:lang w:eastAsia="it-IT"/>
        </w:rPr>
        <w:t>biettivi del potere regolatorio</w:t>
      </w:r>
      <w:r w:rsidRPr="0030660B">
        <w:rPr>
          <w:rFonts w:ascii="Arial" w:eastAsia="Times New Roman" w:hAnsi="Arial"/>
          <w:b/>
          <w:color w:val="974726"/>
          <w:sz w:val="25"/>
          <w:szCs w:val="20"/>
          <w:lang w:eastAsia="it-IT"/>
        </w:rPr>
        <w:t xml:space="preserve"> </w:t>
      </w:r>
    </w:p>
    <w:p w:rsidR="00193DEA" w:rsidRPr="00B83170" w:rsidRDefault="00CC6CE3" w:rsidP="00B83170">
      <w:pPr>
        <w:spacing w:after="0" w:line="260" w:lineRule="exact"/>
        <w:ind w:firstLine="284"/>
        <w:jc w:val="both"/>
        <w:rPr>
          <w:rFonts w:ascii="Arial" w:hAnsi="Arial" w:cs="Arial"/>
        </w:rPr>
      </w:pPr>
      <w:r>
        <w:rPr>
          <w:rFonts w:ascii="Arial" w:hAnsi="Arial" w:cs="Arial"/>
        </w:rPr>
        <w:t>L’art. 1 della legge 14 novembre 1995, n.</w:t>
      </w:r>
      <w:r w:rsidR="00193DEA" w:rsidRPr="00B83170">
        <w:rPr>
          <w:rFonts w:ascii="Arial" w:hAnsi="Arial" w:cs="Arial"/>
        </w:rPr>
        <w:t xml:space="preserve"> 481</w:t>
      </w:r>
      <w:r>
        <w:rPr>
          <w:rFonts w:ascii="Arial" w:hAnsi="Arial" w:cs="Arial"/>
        </w:rPr>
        <w:t xml:space="preserve"> </w:t>
      </w:r>
      <w:r w:rsidR="00193DEA" w:rsidRPr="00B83170">
        <w:rPr>
          <w:rFonts w:ascii="Arial" w:hAnsi="Arial" w:cs="Arial"/>
        </w:rPr>
        <w:t xml:space="preserve">detta </w:t>
      </w:r>
      <w:r w:rsidR="00543D64" w:rsidRPr="00B83170">
        <w:rPr>
          <w:rFonts w:ascii="Arial" w:hAnsi="Arial" w:cs="Arial"/>
        </w:rPr>
        <w:t xml:space="preserve">una serie di principi </w:t>
      </w:r>
      <w:r w:rsidR="00AA192E" w:rsidRPr="00B83170">
        <w:rPr>
          <w:rFonts w:ascii="Arial" w:hAnsi="Arial" w:cs="Arial"/>
        </w:rPr>
        <w:t xml:space="preserve">di massima </w:t>
      </w:r>
      <w:r w:rsidR="00543D64" w:rsidRPr="00B83170">
        <w:rPr>
          <w:rFonts w:ascii="Arial" w:hAnsi="Arial" w:cs="Arial"/>
        </w:rPr>
        <w:t>che devono ispirare l’esercizio della funzione regolatoria delle Autorità di regolazione dei servizi di pubblica utilità.</w:t>
      </w:r>
    </w:p>
    <w:p w:rsidR="00543D64" w:rsidRPr="00B83170" w:rsidRDefault="00543D64" w:rsidP="00B83170">
      <w:pPr>
        <w:spacing w:after="0" w:line="260" w:lineRule="exact"/>
        <w:ind w:firstLine="284"/>
        <w:jc w:val="both"/>
        <w:rPr>
          <w:rFonts w:ascii="Arial" w:hAnsi="Arial" w:cs="Arial"/>
        </w:rPr>
      </w:pPr>
      <w:r w:rsidRPr="00B83170">
        <w:rPr>
          <w:rFonts w:ascii="Arial" w:hAnsi="Arial" w:cs="Arial"/>
        </w:rPr>
        <w:t>Vengono infatti utilizzate espressioni vaghe quali la necessità di garantire «</w:t>
      </w:r>
      <w:r w:rsidRPr="00B83170">
        <w:rPr>
          <w:rFonts w:ascii="Arial" w:hAnsi="Arial" w:cs="Arial"/>
          <w:i/>
        </w:rPr>
        <w:t>la promozione della concorrenza e dell’efficienza nel settore dei servizi di pubblica utilità</w:t>
      </w:r>
      <w:r w:rsidRPr="00B83170">
        <w:rPr>
          <w:rFonts w:ascii="Arial" w:hAnsi="Arial" w:cs="Arial"/>
        </w:rPr>
        <w:t>» nonché «</w:t>
      </w:r>
      <w:r w:rsidRPr="00B83170">
        <w:rPr>
          <w:rFonts w:ascii="Arial" w:hAnsi="Arial" w:cs="Arial"/>
          <w:i/>
        </w:rPr>
        <w:t>adeguati livelli di qualità dei servizi in condizioni di economicità e redditività</w:t>
      </w:r>
      <w:r w:rsidRPr="00B83170">
        <w:rPr>
          <w:rFonts w:ascii="Arial" w:hAnsi="Arial" w:cs="Arial"/>
        </w:rPr>
        <w:t>» e di definire «</w:t>
      </w:r>
      <w:r w:rsidRPr="00B83170">
        <w:rPr>
          <w:rFonts w:ascii="Arial" w:hAnsi="Arial" w:cs="Arial"/>
          <w:i/>
        </w:rPr>
        <w:t>un sistema tariffario certo, trasparente e basato su criteri predefiniti</w:t>
      </w:r>
      <w:r w:rsidRPr="00B83170">
        <w:rPr>
          <w:rFonts w:ascii="Arial" w:hAnsi="Arial" w:cs="Arial"/>
        </w:rPr>
        <w:t>».</w:t>
      </w:r>
    </w:p>
    <w:p w:rsidR="00B667A7" w:rsidRPr="00B83170" w:rsidRDefault="00FB118B" w:rsidP="00B83170">
      <w:pPr>
        <w:spacing w:after="0" w:line="260" w:lineRule="exact"/>
        <w:ind w:firstLine="284"/>
        <w:jc w:val="both"/>
        <w:rPr>
          <w:rFonts w:ascii="Arial" w:hAnsi="Arial" w:cs="Arial"/>
        </w:rPr>
      </w:pPr>
      <w:r w:rsidRPr="00B83170">
        <w:rPr>
          <w:rFonts w:ascii="Arial" w:hAnsi="Arial" w:cs="Arial"/>
        </w:rPr>
        <w:t>Nonostante l</w:t>
      </w:r>
      <w:r w:rsidR="00B37326" w:rsidRPr="00B83170">
        <w:rPr>
          <w:rFonts w:ascii="Arial" w:hAnsi="Arial" w:cs="Arial"/>
        </w:rPr>
        <w:t>a</w:t>
      </w:r>
      <w:r w:rsidR="00193DEA" w:rsidRPr="00B83170">
        <w:rPr>
          <w:rFonts w:ascii="Arial" w:hAnsi="Arial" w:cs="Arial"/>
        </w:rPr>
        <w:t xml:space="preserve"> norma</w:t>
      </w:r>
      <w:r w:rsidRPr="00B83170">
        <w:rPr>
          <w:rFonts w:ascii="Arial" w:hAnsi="Arial" w:cs="Arial"/>
        </w:rPr>
        <w:t xml:space="preserve"> attributiv</w:t>
      </w:r>
      <w:r w:rsidR="00B37326" w:rsidRPr="00B83170">
        <w:rPr>
          <w:rFonts w:ascii="Arial" w:hAnsi="Arial" w:cs="Arial"/>
        </w:rPr>
        <w:t>a</w:t>
      </w:r>
      <w:r w:rsidRPr="00B83170">
        <w:rPr>
          <w:rFonts w:ascii="Arial" w:hAnsi="Arial" w:cs="Arial"/>
        </w:rPr>
        <w:t xml:space="preserve"> del potere regolatorio </w:t>
      </w:r>
      <w:r w:rsidR="00543D64" w:rsidRPr="00B83170">
        <w:rPr>
          <w:rFonts w:ascii="Arial" w:hAnsi="Arial" w:cs="Arial"/>
        </w:rPr>
        <w:t>lasci tale ampio margine di manovra</w:t>
      </w:r>
      <w:r w:rsidRPr="00B83170">
        <w:rPr>
          <w:rFonts w:ascii="Arial" w:hAnsi="Arial" w:cs="Arial"/>
        </w:rPr>
        <w:t xml:space="preserve">, il G.A. mostra di </w:t>
      </w:r>
      <w:r w:rsidR="00543D64" w:rsidRPr="00B83170">
        <w:rPr>
          <w:rFonts w:ascii="Arial" w:hAnsi="Arial" w:cs="Arial"/>
        </w:rPr>
        <w:t>utilizzare i detti principi legislativi al fine di sindacare la corrispondenza agli stessi della scelta regolatoria compiuta dall’AEEGSI.</w:t>
      </w:r>
      <w:r w:rsidRPr="00B83170">
        <w:rPr>
          <w:rFonts w:ascii="Arial" w:hAnsi="Arial" w:cs="Arial"/>
        </w:rPr>
        <w:t xml:space="preserve"> </w:t>
      </w:r>
    </w:p>
    <w:p w:rsidR="00127CFB" w:rsidRPr="00B83170" w:rsidRDefault="006A7910" w:rsidP="00B83170">
      <w:pPr>
        <w:spacing w:after="0" w:line="260" w:lineRule="exact"/>
        <w:ind w:firstLine="284"/>
        <w:jc w:val="both"/>
        <w:rPr>
          <w:rFonts w:ascii="Arial" w:eastAsia="Times New Roman" w:hAnsi="Arial" w:cs="Arial"/>
          <w:lang w:eastAsia="it-IT"/>
        </w:rPr>
      </w:pPr>
      <w:r w:rsidRPr="00B83170">
        <w:rPr>
          <w:rFonts w:ascii="Arial" w:hAnsi="Arial" w:cs="Arial"/>
        </w:rPr>
        <w:t>Ed infatti i</w:t>
      </w:r>
      <w:r w:rsidR="00127CFB" w:rsidRPr="00B83170">
        <w:rPr>
          <w:rFonts w:ascii="Arial" w:hAnsi="Arial" w:cs="Arial"/>
        </w:rPr>
        <w:t xml:space="preserve">n un caso di determinazione di una componente tariffaria, il giudice ha rilevato che </w:t>
      </w:r>
      <w:r w:rsidRPr="00B83170">
        <w:rPr>
          <w:rFonts w:ascii="Arial" w:hAnsi="Arial" w:cs="Arial"/>
        </w:rPr>
        <w:t>la soluzione adottata</w:t>
      </w:r>
      <w:r w:rsidR="00127CFB" w:rsidRPr="00B83170">
        <w:rPr>
          <w:rFonts w:ascii="Arial" w:hAnsi="Arial" w:cs="Arial"/>
        </w:rPr>
        <w:t xml:space="preserve"> dall’Autorità contrastava con</w:t>
      </w:r>
      <w:r w:rsidRPr="00B83170">
        <w:rPr>
          <w:rFonts w:ascii="Arial" w:hAnsi="Arial" w:cs="Arial"/>
        </w:rPr>
        <w:t xml:space="preserve"> il surrichiamato </w:t>
      </w:r>
      <w:r w:rsidR="00127CFB" w:rsidRPr="00B83170">
        <w:rPr>
          <w:rFonts w:ascii="Arial" w:hAnsi="Arial" w:cs="Arial"/>
        </w:rPr>
        <w:t xml:space="preserve"> obiettivo legislativo di garantire nel contempo l’efficienza nella produttività e </w:t>
      </w:r>
      <w:r w:rsidRPr="00B83170">
        <w:rPr>
          <w:rFonts w:ascii="Arial" w:hAnsi="Arial" w:cs="Arial"/>
        </w:rPr>
        <w:t>un’adeguata redditività</w:t>
      </w:r>
      <w:r w:rsidR="00127CFB" w:rsidRPr="00B83170">
        <w:rPr>
          <w:rFonts w:ascii="Arial" w:hAnsi="Arial" w:cs="Arial"/>
        </w:rPr>
        <w:t xml:space="preserve"> </w:t>
      </w:r>
      <w:r w:rsidRPr="00B83170">
        <w:rPr>
          <w:rFonts w:ascii="Arial" w:hAnsi="Arial" w:cs="Arial"/>
        </w:rPr>
        <w:t>per</w:t>
      </w:r>
      <w:r w:rsidR="00127CFB" w:rsidRPr="00B83170">
        <w:rPr>
          <w:rFonts w:ascii="Arial" w:hAnsi="Arial" w:cs="Arial"/>
        </w:rPr>
        <w:t xml:space="preserve"> imprese.  In tal senso, veniva in particolare stabilito che la misura dei costi riconosciuti in tariffa dovesse corrispondere agli effettivi costi sostenuti dalle imprese, in virtù dei principi </w:t>
      </w:r>
      <w:r w:rsidR="00127CFB" w:rsidRPr="00B83170">
        <w:rPr>
          <w:rFonts w:ascii="Arial" w:eastAsia="Times New Roman" w:hAnsi="Arial" w:cs="Arial"/>
          <w:lang w:eastAsia="it-IT"/>
        </w:rPr>
        <w:t>di trasparenza, certezza, non discriminazione sanciti dal suddetto art. 1</w:t>
      </w:r>
      <w:r w:rsidR="00C710CF" w:rsidRPr="00B83170">
        <w:rPr>
          <w:rFonts w:ascii="Arial" w:eastAsia="Times New Roman" w:hAnsi="Arial" w:cs="Arial"/>
          <w:lang w:eastAsia="it-IT"/>
        </w:rPr>
        <w:t xml:space="preserve"> della</w:t>
      </w:r>
      <w:r w:rsidR="00127CFB" w:rsidRPr="00B83170">
        <w:rPr>
          <w:rFonts w:ascii="Arial" w:eastAsia="Times New Roman" w:hAnsi="Arial" w:cs="Arial"/>
          <w:lang w:eastAsia="it-IT"/>
        </w:rPr>
        <w:t xml:space="preserve"> </w:t>
      </w:r>
      <w:r w:rsidR="00CC6CE3">
        <w:rPr>
          <w:rFonts w:ascii="Arial" w:eastAsia="Times New Roman" w:hAnsi="Arial" w:cs="Arial"/>
          <w:lang w:eastAsia="it-IT"/>
        </w:rPr>
        <w:t>l</w:t>
      </w:r>
      <w:r w:rsidR="00127CFB" w:rsidRPr="00B83170">
        <w:rPr>
          <w:rFonts w:ascii="Arial" w:eastAsia="Times New Roman" w:hAnsi="Arial" w:cs="Arial"/>
          <w:lang w:eastAsia="it-IT"/>
        </w:rPr>
        <w:t xml:space="preserve">. </w:t>
      </w:r>
      <w:r w:rsidR="00CC6CE3">
        <w:rPr>
          <w:rFonts w:ascii="Arial" w:eastAsia="Times New Roman" w:hAnsi="Arial" w:cs="Arial"/>
          <w:lang w:eastAsia="it-IT"/>
        </w:rPr>
        <w:t xml:space="preserve">n. </w:t>
      </w:r>
      <w:r w:rsidR="00127CFB" w:rsidRPr="00B83170">
        <w:rPr>
          <w:rFonts w:ascii="Arial" w:eastAsia="Times New Roman" w:hAnsi="Arial" w:cs="Arial"/>
          <w:lang w:eastAsia="it-IT"/>
        </w:rPr>
        <w:t>481/1995; nella specie l’Autorità, nella definizione dei costi riconosciuti, aveva invece valorizzato dati meramente previsionali e relativi ad alcuni soltanto degli operatori presenti nel mercato</w:t>
      </w:r>
      <w:r w:rsidR="00127CFB" w:rsidRPr="00B83170">
        <w:rPr>
          <w:rStyle w:val="Rimandonotaapidipagina"/>
          <w:rFonts w:ascii="Arial" w:eastAsia="Times New Roman" w:hAnsi="Arial" w:cs="Arial"/>
          <w:lang w:eastAsia="it-IT"/>
        </w:rPr>
        <w:footnoteReference w:id="5"/>
      </w:r>
      <w:r w:rsidR="00127CFB" w:rsidRPr="00B83170">
        <w:rPr>
          <w:rFonts w:ascii="Arial" w:eastAsia="Times New Roman" w:hAnsi="Arial" w:cs="Arial"/>
          <w:lang w:eastAsia="it-IT"/>
        </w:rPr>
        <w:t>.</w:t>
      </w:r>
    </w:p>
    <w:p w:rsidR="00127CFB" w:rsidRPr="00B83170" w:rsidRDefault="00591898" w:rsidP="00B83170">
      <w:pPr>
        <w:spacing w:after="0" w:line="260" w:lineRule="exact"/>
        <w:ind w:firstLine="284"/>
        <w:jc w:val="both"/>
        <w:rPr>
          <w:rFonts w:ascii="Arial" w:hAnsi="Arial" w:cs="Arial"/>
        </w:rPr>
      </w:pPr>
      <w:r w:rsidRPr="00B83170">
        <w:rPr>
          <w:rFonts w:ascii="Arial" w:hAnsi="Arial" w:cs="Arial"/>
        </w:rPr>
        <w:t>Un</w:t>
      </w:r>
      <w:r w:rsidR="007D42BD" w:rsidRPr="00B83170">
        <w:rPr>
          <w:rFonts w:ascii="Arial" w:hAnsi="Arial" w:cs="Arial"/>
        </w:rPr>
        <w:t xml:space="preserve"> ulteriore</w:t>
      </w:r>
      <w:r w:rsidRPr="00B83170">
        <w:rPr>
          <w:rFonts w:ascii="Arial" w:hAnsi="Arial" w:cs="Arial"/>
        </w:rPr>
        <w:t xml:space="preserve"> interessante dato che si rileva </w:t>
      </w:r>
      <w:r w:rsidR="000A1274" w:rsidRPr="00B83170">
        <w:rPr>
          <w:rFonts w:ascii="Arial" w:hAnsi="Arial" w:cs="Arial"/>
        </w:rPr>
        <w:t xml:space="preserve">sempre in ordine al rapporto tra obiettivi legislativi e potere regolatorio </w:t>
      </w:r>
      <w:r w:rsidRPr="00B83170">
        <w:rPr>
          <w:rFonts w:ascii="Arial" w:hAnsi="Arial" w:cs="Arial"/>
        </w:rPr>
        <w:t>è che</w:t>
      </w:r>
      <w:r w:rsidR="00F86CB7" w:rsidRPr="00B83170">
        <w:rPr>
          <w:rFonts w:ascii="Arial" w:hAnsi="Arial" w:cs="Arial"/>
        </w:rPr>
        <w:t>,</w:t>
      </w:r>
      <w:r w:rsidRPr="00B83170">
        <w:rPr>
          <w:rFonts w:ascii="Arial" w:hAnsi="Arial" w:cs="Arial"/>
        </w:rPr>
        <w:t xml:space="preserve"> n</w:t>
      </w:r>
      <w:r w:rsidR="00B37326" w:rsidRPr="00B83170">
        <w:rPr>
          <w:rFonts w:ascii="Arial" w:hAnsi="Arial" w:cs="Arial"/>
        </w:rPr>
        <w:t xml:space="preserve">el caso in cui </w:t>
      </w:r>
      <w:r w:rsidR="004D2FF4" w:rsidRPr="00B83170">
        <w:rPr>
          <w:rFonts w:ascii="Arial" w:hAnsi="Arial" w:cs="Arial"/>
        </w:rPr>
        <w:t>le norme legislative</w:t>
      </w:r>
      <w:r w:rsidR="006A7910" w:rsidRPr="00B83170">
        <w:rPr>
          <w:rFonts w:ascii="Arial" w:hAnsi="Arial" w:cs="Arial"/>
        </w:rPr>
        <w:t xml:space="preserve"> imponga</w:t>
      </w:r>
      <w:r w:rsidR="004D2FF4" w:rsidRPr="00B83170">
        <w:rPr>
          <w:rFonts w:ascii="Arial" w:hAnsi="Arial" w:cs="Arial"/>
        </w:rPr>
        <w:t>no</w:t>
      </w:r>
      <w:r w:rsidR="006A7910" w:rsidRPr="00B83170">
        <w:rPr>
          <w:rFonts w:ascii="Arial" w:hAnsi="Arial" w:cs="Arial"/>
        </w:rPr>
        <w:t xml:space="preserve"> in maniera vincolata </w:t>
      </w:r>
      <w:r w:rsidR="000A1274" w:rsidRPr="00B83170">
        <w:rPr>
          <w:rFonts w:ascii="Arial" w:hAnsi="Arial" w:cs="Arial"/>
        </w:rPr>
        <w:t>un determinato parametro tecnico</w:t>
      </w:r>
      <w:r w:rsidR="00B37326" w:rsidRPr="00B83170">
        <w:rPr>
          <w:rFonts w:ascii="Arial" w:hAnsi="Arial" w:cs="Arial"/>
        </w:rPr>
        <w:t>, il G.A</w:t>
      </w:r>
      <w:r w:rsidR="00335994" w:rsidRPr="00B83170">
        <w:rPr>
          <w:rFonts w:ascii="Arial" w:hAnsi="Arial" w:cs="Arial"/>
        </w:rPr>
        <w:t>.</w:t>
      </w:r>
      <w:r w:rsidR="00B37326" w:rsidRPr="00B83170">
        <w:rPr>
          <w:rFonts w:ascii="Arial" w:hAnsi="Arial" w:cs="Arial"/>
        </w:rPr>
        <w:t xml:space="preserve"> ritiene che manchi in capo all’Autorità qualsiasi potestà di modificare o integra</w:t>
      </w:r>
      <w:r w:rsidR="00B37326" w:rsidRPr="00B83170">
        <w:rPr>
          <w:rFonts w:ascii="Arial" w:hAnsi="Arial" w:cs="Arial"/>
        </w:rPr>
        <w:lastRenderedPageBreak/>
        <w:t>re il detto parametro stabilito, anche se la medesima ritenga l’integrazione funzionale al miglior raggiungimento dell’obiettivo</w:t>
      </w:r>
      <w:r w:rsidR="000A1274" w:rsidRPr="00B83170">
        <w:rPr>
          <w:rFonts w:ascii="Arial" w:hAnsi="Arial" w:cs="Arial"/>
        </w:rPr>
        <w:t xml:space="preserve"> dell’efficienza del mercato</w:t>
      </w:r>
      <w:r w:rsidR="00B37326" w:rsidRPr="00B83170">
        <w:rPr>
          <w:rFonts w:ascii="Arial" w:hAnsi="Arial" w:cs="Arial"/>
        </w:rPr>
        <w:t>.</w:t>
      </w:r>
    </w:p>
    <w:p w:rsidR="000A1274" w:rsidRPr="00B83170" w:rsidRDefault="002052B5" w:rsidP="00B83170">
      <w:pPr>
        <w:pStyle w:val="popolo"/>
        <w:spacing w:line="260" w:lineRule="exact"/>
        <w:ind w:firstLine="284"/>
        <w:rPr>
          <w:rFonts w:ascii="Arial" w:hAnsi="Arial" w:cs="Arial"/>
          <w:i/>
          <w:sz w:val="22"/>
          <w:szCs w:val="22"/>
        </w:rPr>
      </w:pPr>
      <w:r w:rsidRPr="00B83170">
        <w:rPr>
          <w:rFonts w:ascii="Arial" w:hAnsi="Arial" w:cs="Arial"/>
          <w:sz w:val="22"/>
          <w:szCs w:val="22"/>
        </w:rPr>
        <w:t>Così</w:t>
      </w:r>
      <w:r w:rsidR="004D2FF4" w:rsidRPr="00B83170">
        <w:rPr>
          <w:rFonts w:ascii="Arial" w:hAnsi="Arial" w:cs="Arial"/>
          <w:sz w:val="22"/>
          <w:szCs w:val="22"/>
        </w:rPr>
        <w:t xml:space="preserve"> è stato stabilito</w:t>
      </w:r>
      <w:r w:rsidR="000A1274" w:rsidRPr="00B83170">
        <w:rPr>
          <w:rFonts w:ascii="Arial" w:hAnsi="Arial" w:cs="Arial"/>
          <w:sz w:val="22"/>
          <w:szCs w:val="22"/>
        </w:rPr>
        <w:t xml:space="preserve"> </w:t>
      </w:r>
      <w:r w:rsidRPr="00B83170">
        <w:rPr>
          <w:rFonts w:ascii="Arial" w:hAnsi="Arial" w:cs="Arial"/>
          <w:sz w:val="22"/>
          <w:szCs w:val="22"/>
        </w:rPr>
        <w:t xml:space="preserve">ad esempio </w:t>
      </w:r>
      <w:r w:rsidR="000A1274" w:rsidRPr="00B83170">
        <w:rPr>
          <w:rFonts w:ascii="Arial" w:hAnsi="Arial" w:cs="Arial"/>
          <w:sz w:val="22"/>
          <w:szCs w:val="22"/>
        </w:rPr>
        <w:t>in una vertenza riguardante l’impugnazione di una delibera con la quale</w:t>
      </w:r>
      <w:r w:rsidR="00AA192E" w:rsidRPr="00B83170">
        <w:rPr>
          <w:rFonts w:ascii="Arial" w:hAnsi="Arial" w:cs="Arial"/>
          <w:sz w:val="22"/>
          <w:szCs w:val="22"/>
        </w:rPr>
        <w:t xml:space="preserve"> </w:t>
      </w:r>
      <w:r w:rsidR="000A1274" w:rsidRPr="00B83170">
        <w:rPr>
          <w:rFonts w:ascii="Arial" w:hAnsi="Arial" w:cs="Arial"/>
          <w:sz w:val="22"/>
          <w:szCs w:val="22"/>
        </w:rPr>
        <w:t>l’Autorità aveva specificato, rendendolo più restrittivo, un parametro tecnico, previsto a livello legislativo, per la qualificazione di “impianto di cogenerazione ad alto rendimento” necessaria al fine del riconoscimento della priorità di dispacciamento</w:t>
      </w:r>
      <w:r w:rsidR="00EB4648" w:rsidRPr="00B83170">
        <w:rPr>
          <w:rStyle w:val="Rimandonotaapidipagina"/>
          <w:rFonts w:ascii="Arial" w:hAnsi="Arial" w:cs="Arial"/>
          <w:sz w:val="22"/>
          <w:szCs w:val="22"/>
        </w:rPr>
        <w:footnoteReference w:id="6"/>
      </w:r>
      <w:r w:rsidR="000A1274" w:rsidRPr="00B83170">
        <w:rPr>
          <w:rFonts w:ascii="Arial" w:hAnsi="Arial" w:cs="Arial"/>
          <w:sz w:val="22"/>
          <w:szCs w:val="22"/>
        </w:rPr>
        <w:t xml:space="preserve">. </w:t>
      </w:r>
    </w:p>
    <w:p w:rsidR="00335994" w:rsidRDefault="004D2FF4" w:rsidP="00B83170">
      <w:pPr>
        <w:spacing w:after="0" w:line="260" w:lineRule="exact"/>
        <w:ind w:firstLine="284"/>
        <w:jc w:val="both"/>
        <w:rPr>
          <w:rFonts w:ascii="Arial" w:hAnsi="Arial" w:cs="Arial"/>
        </w:rPr>
      </w:pPr>
      <w:r w:rsidRPr="00B83170">
        <w:rPr>
          <w:rFonts w:ascii="Arial" w:hAnsi="Arial" w:cs="Arial"/>
        </w:rPr>
        <w:t>Se ne ricava dunque che il compito dell’</w:t>
      </w:r>
      <w:r w:rsidR="00335994" w:rsidRPr="00B83170">
        <w:rPr>
          <w:rFonts w:ascii="Arial" w:hAnsi="Arial" w:cs="Arial"/>
        </w:rPr>
        <w:t>AEEGSI di rendere più e</w:t>
      </w:r>
      <w:r w:rsidRPr="00B83170">
        <w:rPr>
          <w:rFonts w:ascii="Arial" w:hAnsi="Arial" w:cs="Arial"/>
        </w:rPr>
        <w:t>fficiente il mercato energetico non ricomprende il</w:t>
      </w:r>
      <w:r w:rsidR="00335994" w:rsidRPr="00B83170">
        <w:rPr>
          <w:rFonts w:ascii="Arial" w:hAnsi="Arial" w:cs="Arial"/>
        </w:rPr>
        <w:t xml:space="preserve"> potere di modificare</w:t>
      </w:r>
      <w:r w:rsidR="00591898" w:rsidRPr="00B83170">
        <w:rPr>
          <w:rFonts w:ascii="Arial" w:hAnsi="Arial" w:cs="Arial"/>
        </w:rPr>
        <w:t xml:space="preserve"> o integrare</w:t>
      </w:r>
      <w:r w:rsidR="00335994" w:rsidRPr="00B83170">
        <w:rPr>
          <w:rFonts w:ascii="Arial" w:hAnsi="Arial" w:cs="Arial"/>
        </w:rPr>
        <w:t xml:space="preserve"> i parametri tecnici già definiti dal legislatore in maniera puntuale.</w:t>
      </w:r>
      <w:r w:rsidR="0030660B">
        <w:rPr>
          <w:rFonts w:ascii="Arial" w:hAnsi="Arial" w:cs="Arial"/>
        </w:rPr>
        <w:t xml:space="preserve"> </w:t>
      </w:r>
    </w:p>
    <w:p w:rsidR="0030660B" w:rsidRPr="00B83170" w:rsidRDefault="0030660B" w:rsidP="00B83170">
      <w:pPr>
        <w:spacing w:after="0" w:line="260" w:lineRule="exact"/>
        <w:ind w:firstLine="284"/>
        <w:jc w:val="both"/>
        <w:rPr>
          <w:rFonts w:ascii="Arial" w:hAnsi="Arial" w:cs="Arial"/>
        </w:rPr>
      </w:pPr>
    </w:p>
    <w:p w:rsidR="00B667A7" w:rsidRDefault="00B667A7" w:rsidP="004C214D">
      <w:pPr>
        <w:pStyle w:val="Paragrafoelenco"/>
        <w:numPr>
          <w:ilvl w:val="0"/>
          <w:numId w:val="3"/>
        </w:numPr>
        <w:spacing w:before="640" w:after="384" w:line="290" w:lineRule="exact"/>
        <w:ind w:left="-40" w:hanging="357"/>
        <w:jc w:val="both"/>
        <w:rPr>
          <w:rFonts w:ascii="Arial" w:eastAsia="Times New Roman" w:hAnsi="Arial"/>
          <w:b/>
          <w:color w:val="974726"/>
          <w:sz w:val="25"/>
          <w:szCs w:val="20"/>
          <w:lang w:eastAsia="it-IT"/>
        </w:rPr>
      </w:pPr>
      <w:r w:rsidRPr="0030660B">
        <w:rPr>
          <w:rFonts w:ascii="Arial" w:eastAsia="Times New Roman" w:hAnsi="Arial"/>
          <w:b/>
          <w:color w:val="974726"/>
          <w:sz w:val="25"/>
          <w:szCs w:val="20"/>
          <w:lang w:eastAsia="it-IT"/>
        </w:rPr>
        <w:t xml:space="preserve">L’eccesso di potere: le figure sintomatiche utilizzate </w:t>
      </w:r>
      <w:r w:rsidR="004C214D">
        <w:rPr>
          <w:rFonts w:ascii="Arial" w:eastAsia="Times New Roman" w:hAnsi="Arial"/>
          <w:b/>
          <w:color w:val="974726"/>
          <w:sz w:val="25"/>
          <w:szCs w:val="20"/>
          <w:lang w:eastAsia="it-IT"/>
        </w:rPr>
        <w:t>per sindacare la scelta tecnica</w:t>
      </w:r>
    </w:p>
    <w:p w:rsidR="0030660B" w:rsidRPr="0030660B" w:rsidRDefault="0030660B" w:rsidP="0030660B">
      <w:pPr>
        <w:pStyle w:val="Paragrafoelenco"/>
        <w:spacing w:after="0" w:line="260" w:lineRule="exact"/>
        <w:ind w:left="-40"/>
        <w:jc w:val="both"/>
        <w:rPr>
          <w:rFonts w:ascii="Arial" w:eastAsia="Times New Roman" w:hAnsi="Arial"/>
          <w:b/>
          <w:color w:val="974726"/>
          <w:sz w:val="25"/>
          <w:szCs w:val="20"/>
          <w:lang w:eastAsia="it-IT"/>
        </w:rPr>
      </w:pPr>
    </w:p>
    <w:p w:rsidR="004D2FF4" w:rsidRPr="00B83170" w:rsidRDefault="004D2FF4" w:rsidP="00B83170">
      <w:pPr>
        <w:spacing w:after="0" w:line="260" w:lineRule="exact"/>
        <w:ind w:firstLine="284"/>
        <w:jc w:val="both"/>
        <w:rPr>
          <w:rFonts w:ascii="Arial" w:hAnsi="Arial" w:cs="Arial"/>
        </w:rPr>
      </w:pPr>
      <w:r w:rsidRPr="00B83170">
        <w:rPr>
          <w:rFonts w:ascii="Arial" w:hAnsi="Arial" w:cs="Arial"/>
        </w:rPr>
        <w:t xml:space="preserve">Come si è già accennato, la giurisprudenza amministrativa </w:t>
      </w:r>
      <w:r w:rsidR="00A12518" w:rsidRPr="00B83170">
        <w:rPr>
          <w:rFonts w:ascii="Arial" w:hAnsi="Arial" w:cs="Arial"/>
        </w:rPr>
        <w:t>stenta a trovare un disegno preciso allo statuto dell’attività regolatoria.</w:t>
      </w:r>
    </w:p>
    <w:p w:rsidR="00335994" w:rsidRPr="00B83170" w:rsidRDefault="00335994" w:rsidP="00B83170">
      <w:pPr>
        <w:spacing w:after="0" w:line="260" w:lineRule="exact"/>
        <w:ind w:firstLine="284"/>
        <w:jc w:val="both"/>
        <w:rPr>
          <w:rFonts w:ascii="Arial" w:hAnsi="Arial" w:cs="Arial"/>
          <w:i/>
        </w:rPr>
      </w:pPr>
      <w:r w:rsidRPr="00B83170">
        <w:rPr>
          <w:rFonts w:ascii="Arial" w:hAnsi="Arial" w:cs="Arial"/>
        </w:rPr>
        <w:t xml:space="preserve">L’atteggiamento di deferenza del G.A. nei confronti del potere di regolazione del mercato dell’AEEGSI è stato </w:t>
      </w:r>
      <w:r w:rsidR="002419D5" w:rsidRPr="00B83170">
        <w:rPr>
          <w:rFonts w:ascii="Arial" w:hAnsi="Arial" w:cs="Arial"/>
        </w:rPr>
        <w:t xml:space="preserve">in passato </w:t>
      </w:r>
      <w:r w:rsidRPr="00B83170">
        <w:rPr>
          <w:rFonts w:ascii="Arial" w:hAnsi="Arial" w:cs="Arial"/>
        </w:rPr>
        <w:t xml:space="preserve">giustificato </w:t>
      </w:r>
      <w:r w:rsidR="00BC066F" w:rsidRPr="00B83170">
        <w:rPr>
          <w:rFonts w:ascii="Arial" w:hAnsi="Arial" w:cs="Arial"/>
        </w:rPr>
        <w:t>sul presupposto</w:t>
      </w:r>
      <w:r w:rsidRPr="00B83170">
        <w:rPr>
          <w:rFonts w:ascii="Arial" w:hAnsi="Arial" w:cs="Arial"/>
        </w:rPr>
        <w:t xml:space="preserve"> che </w:t>
      </w:r>
      <w:r w:rsidRPr="00B83170">
        <w:rPr>
          <w:rFonts w:ascii="Arial" w:hAnsi="Arial" w:cs="Arial"/>
          <w:i/>
        </w:rPr>
        <w:t>«le funzioni dell’autorità non sono di valutazione e di giudizio meramente tecnico, ma di regolazione del mercato»</w:t>
      </w:r>
      <w:r w:rsidRPr="00B83170">
        <w:rPr>
          <w:rStyle w:val="Rimandonotaapidipagina"/>
          <w:rFonts w:ascii="Arial" w:hAnsi="Arial" w:cs="Arial"/>
          <w:i/>
        </w:rPr>
        <w:footnoteReference w:id="7"/>
      </w:r>
      <w:r w:rsidRPr="00B83170">
        <w:rPr>
          <w:rFonts w:ascii="Arial" w:hAnsi="Arial" w:cs="Arial"/>
          <w:i/>
        </w:rPr>
        <w:t>.</w:t>
      </w:r>
    </w:p>
    <w:p w:rsidR="00467D9B" w:rsidRPr="00B83170" w:rsidRDefault="002419D5" w:rsidP="00B83170">
      <w:pPr>
        <w:spacing w:after="0" w:line="260" w:lineRule="exact"/>
        <w:ind w:firstLine="284"/>
        <w:jc w:val="both"/>
        <w:rPr>
          <w:rFonts w:ascii="Arial" w:hAnsi="Arial" w:cs="Arial"/>
        </w:rPr>
      </w:pPr>
      <w:r w:rsidRPr="00B83170">
        <w:rPr>
          <w:rFonts w:ascii="Arial" w:hAnsi="Arial" w:cs="Arial"/>
        </w:rPr>
        <w:t>Sembrere</w:t>
      </w:r>
      <w:r w:rsidR="009E20D2" w:rsidRPr="00B83170">
        <w:rPr>
          <w:rFonts w:ascii="Arial" w:hAnsi="Arial" w:cs="Arial"/>
        </w:rPr>
        <w:t>bbe quindi che il G.A. conside</w:t>
      </w:r>
      <w:r w:rsidRPr="00B83170">
        <w:rPr>
          <w:rFonts w:ascii="Arial" w:hAnsi="Arial" w:cs="Arial"/>
        </w:rPr>
        <w:t>ri</w:t>
      </w:r>
      <w:r w:rsidR="00335994" w:rsidRPr="00B83170">
        <w:rPr>
          <w:rFonts w:ascii="Arial" w:hAnsi="Arial" w:cs="Arial"/>
        </w:rPr>
        <w:t xml:space="preserve"> l’attività regolatoria </w:t>
      </w:r>
      <w:r w:rsidR="007A789D" w:rsidRPr="00B83170">
        <w:rPr>
          <w:rFonts w:ascii="Arial" w:hAnsi="Arial" w:cs="Arial"/>
        </w:rPr>
        <w:t>non un’attività di</w:t>
      </w:r>
      <w:r w:rsidR="00335994" w:rsidRPr="00B83170">
        <w:rPr>
          <w:rFonts w:ascii="Arial" w:hAnsi="Arial" w:cs="Arial"/>
        </w:rPr>
        <w:t xml:space="preserve"> giudizio</w:t>
      </w:r>
      <w:r w:rsidR="009E20D2" w:rsidRPr="00B83170">
        <w:rPr>
          <w:rFonts w:ascii="Arial" w:hAnsi="Arial" w:cs="Arial"/>
        </w:rPr>
        <w:t>,</w:t>
      </w:r>
      <w:r w:rsidR="00335994" w:rsidRPr="00B83170">
        <w:rPr>
          <w:rFonts w:ascii="Arial" w:hAnsi="Arial" w:cs="Arial"/>
        </w:rPr>
        <w:t xml:space="preserve"> seppur tecnico, </w:t>
      </w:r>
      <w:r w:rsidR="007A789D" w:rsidRPr="00B83170">
        <w:rPr>
          <w:rFonts w:ascii="Arial" w:hAnsi="Arial" w:cs="Arial"/>
        </w:rPr>
        <w:t>bensì</w:t>
      </w:r>
      <w:r w:rsidR="00335994" w:rsidRPr="00B83170">
        <w:rPr>
          <w:rFonts w:ascii="Arial" w:hAnsi="Arial" w:cs="Arial"/>
        </w:rPr>
        <w:t xml:space="preserve"> una vera e propria potestà </w:t>
      </w:r>
      <w:r w:rsidR="00156AEB" w:rsidRPr="00B83170">
        <w:rPr>
          <w:rFonts w:ascii="Arial" w:hAnsi="Arial" w:cs="Arial"/>
        </w:rPr>
        <w:t xml:space="preserve">discrezionale </w:t>
      </w:r>
      <w:r w:rsidR="00467D9B" w:rsidRPr="00B83170">
        <w:rPr>
          <w:rFonts w:ascii="Arial" w:hAnsi="Arial" w:cs="Arial"/>
        </w:rPr>
        <w:t>volta a definire</w:t>
      </w:r>
      <w:r w:rsidR="00156AEB" w:rsidRPr="00B83170">
        <w:rPr>
          <w:rFonts w:ascii="Arial" w:hAnsi="Arial" w:cs="Arial"/>
        </w:rPr>
        <w:t xml:space="preserve"> le regole </w:t>
      </w:r>
      <w:r w:rsidR="00467D9B" w:rsidRPr="00B83170">
        <w:rPr>
          <w:rFonts w:ascii="Arial" w:hAnsi="Arial" w:cs="Arial"/>
        </w:rPr>
        <w:t>per il miglior</w:t>
      </w:r>
      <w:r w:rsidR="00156AEB" w:rsidRPr="00B83170">
        <w:rPr>
          <w:rFonts w:ascii="Arial" w:hAnsi="Arial" w:cs="Arial"/>
        </w:rPr>
        <w:t xml:space="preserve"> funzionamento del mercato</w:t>
      </w:r>
      <w:r w:rsidRPr="00B83170">
        <w:rPr>
          <w:rFonts w:ascii="Arial" w:hAnsi="Arial" w:cs="Arial"/>
        </w:rPr>
        <w:t>, guidata da criteri tecnici</w:t>
      </w:r>
      <w:r w:rsidR="00591898" w:rsidRPr="00B83170">
        <w:rPr>
          <w:rFonts w:ascii="Arial" w:hAnsi="Arial" w:cs="Arial"/>
        </w:rPr>
        <w:t xml:space="preserve">. </w:t>
      </w:r>
    </w:p>
    <w:p w:rsidR="00F86CB7" w:rsidRPr="00B83170" w:rsidRDefault="002419D5" w:rsidP="00B83170">
      <w:pPr>
        <w:spacing w:after="0" w:line="260" w:lineRule="exact"/>
        <w:ind w:firstLine="284"/>
        <w:jc w:val="both"/>
        <w:rPr>
          <w:rFonts w:ascii="Arial" w:hAnsi="Arial" w:cs="Arial"/>
        </w:rPr>
      </w:pPr>
      <w:r w:rsidRPr="00B83170">
        <w:rPr>
          <w:rFonts w:ascii="Arial" w:hAnsi="Arial" w:cs="Arial"/>
        </w:rPr>
        <w:t xml:space="preserve">In altre pronunce </w:t>
      </w:r>
      <w:r w:rsidR="0039380C" w:rsidRPr="00B83170">
        <w:rPr>
          <w:rFonts w:ascii="Arial" w:hAnsi="Arial" w:cs="Arial"/>
        </w:rPr>
        <w:t xml:space="preserve">si legge </w:t>
      </w:r>
      <w:r w:rsidR="00655881" w:rsidRPr="00B83170">
        <w:rPr>
          <w:rFonts w:ascii="Arial" w:hAnsi="Arial" w:cs="Arial"/>
        </w:rPr>
        <w:t>tuttavia</w:t>
      </w:r>
      <w:r w:rsidR="0039380C" w:rsidRPr="00B83170">
        <w:rPr>
          <w:rFonts w:ascii="Arial" w:hAnsi="Arial" w:cs="Arial"/>
        </w:rPr>
        <w:t xml:space="preserve"> che</w:t>
      </w:r>
      <w:r w:rsidRPr="00B83170">
        <w:rPr>
          <w:rFonts w:ascii="Arial" w:hAnsi="Arial" w:cs="Arial"/>
        </w:rPr>
        <w:t xml:space="preserve"> </w:t>
      </w:r>
      <w:r w:rsidR="0039380C" w:rsidRPr="00B83170">
        <w:rPr>
          <w:rFonts w:ascii="Arial" w:hAnsi="Arial" w:cs="Arial"/>
        </w:rPr>
        <w:t>«</w:t>
      </w:r>
      <w:r w:rsidR="0039380C" w:rsidRPr="00B83170">
        <w:rPr>
          <w:rFonts w:ascii="Arial" w:eastAsia="Times New Roman" w:hAnsi="Arial" w:cs="Arial"/>
          <w:i/>
          <w:lang w:eastAsia="it-IT"/>
        </w:rPr>
        <w:t>gli atti dell’Autorità (…) sono normalmente espressione di valutazioni tecniche e conseguentemente suscettibili di sindacato giurisdizionale, in applicazione di criteri intrinseci al settore che viene in rilievo</w:t>
      </w:r>
      <w:r w:rsidR="0039380C" w:rsidRPr="00B83170">
        <w:rPr>
          <w:rFonts w:ascii="Arial" w:eastAsia="Times New Roman" w:hAnsi="Arial" w:cs="Arial"/>
          <w:lang w:eastAsia="it-IT"/>
        </w:rPr>
        <w:t>»</w:t>
      </w:r>
      <w:r w:rsidR="0039380C" w:rsidRPr="00B83170">
        <w:rPr>
          <w:rStyle w:val="Rimandonotaapidipagina"/>
          <w:rFonts w:ascii="Arial" w:eastAsia="Times New Roman" w:hAnsi="Arial" w:cs="Arial"/>
          <w:lang w:eastAsia="it-IT"/>
        </w:rPr>
        <w:footnoteReference w:id="8"/>
      </w:r>
      <w:r w:rsidR="0039380C" w:rsidRPr="00B83170">
        <w:rPr>
          <w:rFonts w:ascii="Arial" w:eastAsia="Times New Roman" w:hAnsi="Arial" w:cs="Arial"/>
          <w:lang w:eastAsia="it-IT"/>
        </w:rPr>
        <w:t>.</w:t>
      </w:r>
    </w:p>
    <w:p w:rsidR="00335994" w:rsidRPr="00B83170" w:rsidRDefault="004D2FF4" w:rsidP="00B83170">
      <w:pPr>
        <w:spacing w:after="0" w:line="260" w:lineRule="exact"/>
        <w:ind w:firstLine="284"/>
        <w:jc w:val="both"/>
        <w:rPr>
          <w:rFonts w:ascii="Arial" w:hAnsi="Arial" w:cs="Arial"/>
        </w:rPr>
      </w:pPr>
      <w:r w:rsidRPr="00B83170">
        <w:rPr>
          <w:rFonts w:ascii="Arial" w:hAnsi="Arial" w:cs="Arial"/>
        </w:rPr>
        <w:t>Sta di fatto che</w:t>
      </w:r>
      <w:r w:rsidR="0039380C" w:rsidRPr="00B83170">
        <w:rPr>
          <w:rFonts w:ascii="Arial" w:hAnsi="Arial" w:cs="Arial"/>
        </w:rPr>
        <w:t>, al di là delle classificazioni,</w:t>
      </w:r>
      <w:r w:rsidRPr="00B83170">
        <w:rPr>
          <w:rFonts w:ascii="Arial" w:hAnsi="Arial" w:cs="Arial"/>
        </w:rPr>
        <w:t xml:space="preserve"> t</w:t>
      </w:r>
      <w:r w:rsidR="007A789D" w:rsidRPr="00B83170">
        <w:rPr>
          <w:rFonts w:ascii="Arial" w:hAnsi="Arial" w:cs="Arial"/>
        </w:rPr>
        <w:t xml:space="preserve">ale ruolo di </w:t>
      </w:r>
      <w:r w:rsidR="00591898" w:rsidRPr="00B83170">
        <w:rPr>
          <w:rFonts w:ascii="Arial" w:hAnsi="Arial" w:cs="Arial"/>
        </w:rPr>
        <w:t>“dominio del settore”</w:t>
      </w:r>
      <w:r w:rsidR="007A789D" w:rsidRPr="00B83170">
        <w:rPr>
          <w:rFonts w:ascii="Arial" w:hAnsi="Arial" w:cs="Arial"/>
        </w:rPr>
        <w:t xml:space="preserve"> riconosciuto in capo all’AEEGSI</w:t>
      </w:r>
      <w:r w:rsidR="00591898" w:rsidRPr="00B83170">
        <w:rPr>
          <w:rFonts w:ascii="Arial" w:hAnsi="Arial" w:cs="Arial"/>
        </w:rPr>
        <w:t xml:space="preserve"> </w:t>
      </w:r>
      <w:r w:rsidR="007A789D" w:rsidRPr="00B83170">
        <w:rPr>
          <w:rFonts w:ascii="Arial" w:hAnsi="Arial" w:cs="Arial"/>
        </w:rPr>
        <w:t>genera</w:t>
      </w:r>
      <w:r w:rsidR="00655881" w:rsidRPr="00B83170">
        <w:rPr>
          <w:rFonts w:ascii="Arial" w:hAnsi="Arial" w:cs="Arial"/>
        </w:rPr>
        <w:t xml:space="preserve"> </w:t>
      </w:r>
      <w:r w:rsidR="00783432" w:rsidRPr="00B83170">
        <w:rPr>
          <w:rFonts w:ascii="Arial" w:hAnsi="Arial" w:cs="Arial"/>
        </w:rPr>
        <w:t xml:space="preserve">anche </w:t>
      </w:r>
      <w:r w:rsidRPr="00B83170">
        <w:rPr>
          <w:rFonts w:ascii="Arial" w:hAnsi="Arial" w:cs="Arial"/>
        </w:rPr>
        <w:t xml:space="preserve">nella </w:t>
      </w:r>
      <w:r w:rsidR="00BC066F" w:rsidRPr="00B83170">
        <w:rPr>
          <w:rFonts w:ascii="Arial" w:hAnsi="Arial" w:cs="Arial"/>
        </w:rPr>
        <w:t xml:space="preserve">giurisprudenza </w:t>
      </w:r>
      <w:r w:rsidR="00783432" w:rsidRPr="00B83170">
        <w:rPr>
          <w:rFonts w:ascii="Arial" w:hAnsi="Arial" w:cs="Arial"/>
        </w:rPr>
        <w:t xml:space="preserve">recente </w:t>
      </w:r>
      <w:r w:rsidR="007A789D" w:rsidRPr="00B83170">
        <w:rPr>
          <w:rFonts w:ascii="Arial" w:hAnsi="Arial" w:cs="Arial"/>
        </w:rPr>
        <w:t>una sorta di</w:t>
      </w:r>
      <w:r w:rsidR="00BC066F" w:rsidRPr="00B83170">
        <w:rPr>
          <w:rFonts w:ascii="Arial" w:hAnsi="Arial" w:cs="Arial"/>
        </w:rPr>
        <w:t xml:space="preserve"> </w:t>
      </w:r>
      <w:r w:rsidR="001059F2" w:rsidRPr="00B83170">
        <w:rPr>
          <w:rFonts w:ascii="Arial" w:hAnsi="Arial" w:cs="Arial"/>
        </w:rPr>
        <w:t>timidezza nell’</w:t>
      </w:r>
      <w:r w:rsidR="007A789D" w:rsidRPr="00B83170">
        <w:rPr>
          <w:rFonts w:ascii="Arial" w:hAnsi="Arial" w:cs="Arial"/>
        </w:rPr>
        <w:t>esercizio del sindacato</w:t>
      </w:r>
      <w:r w:rsidR="00591898" w:rsidRPr="00B83170">
        <w:rPr>
          <w:rFonts w:ascii="Arial" w:hAnsi="Arial" w:cs="Arial"/>
        </w:rPr>
        <w:t xml:space="preserve"> giurisdizionale.</w:t>
      </w:r>
      <w:r w:rsidR="00156AEB" w:rsidRPr="00B83170">
        <w:rPr>
          <w:rFonts w:ascii="Arial" w:hAnsi="Arial" w:cs="Arial"/>
        </w:rPr>
        <w:t xml:space="preserve"> </w:t>
      </w:r>
    </w:p>
    <w:p w:rsidR="00894BC8" w:rsidRPr="00B83170" w:rsidRDefault="007A789D" w:rsidP="00B83170">
      <w:pPr>
        <w:spacing w:after="0" w:line="260" w:lineRule="exact"/>
        <w:ind w:firstLine="284"/>
        <w:jc w:val="both"/>
        <w:rPr>
          <w:rFonts w:ascii="Arial" w:eastAsia="Times New Roman" w:hAnsi="Arial" w:cs="Arial"/>
          <w:lang w:eastAsia="it-IT"/>
        </w:rPr>
      </w:pPr>
      <w:r w:rsidRPr="00B83170">
        <w:rPr>
          <w:rFonts w:ascii="Arial" w:eastAsia="Times New Roman" w:hAnsi="Arial" w:cs="Arial"/>
          <w:lang w:eastAsia="it-IT"/>
        </w:rPr>
        <w:t>Ciò almeno sembra ricavarsi da recenti affermazioni di principio secondo le quali</w:t>
      </w:r>
      <w:r w:rsidR="00156AEB" w:rsidRPr="00B83170">
        <w:rPr>
          <w:rFonts w:ascii="Arial" w:eastAsia="Times New Roman" w:hAnsi="Arial" w:cs="Arial"/>
          <w:lang w:eastAsia="it-IT"/>
        </w:rPr>
        <w:t xml:space="preserve"> «</w:t>
      </w:r>
      <w:r w:rsidR="00156AEB" w:rsidRPr="00B83170">
        <w:rPr>
          <w:rFonts w:ascii="Arial" w:eastAsia="Times New Roman" w:hAnsi="Arial" w:cs="Arial"/>
          <w:i/>
          <w:lang w:eastAsia="it-IT"/>
        </w:rPr>
        <w:t xml:space="preserve">le valutazioni compiute dall’Autorità nell’ambito dell’esercizio dei propri poteri di regolazione sono connotate da ampia discrezionalità che il giudice amministrativo può sindacare solo nel caso in cui l’Autorità stessa abbia effettuato scelte che si pongono in contrasto con quello che può essere definito principio di ragionevolezza tecnica. Non è consentito, infatti, al giudice amministrativo – in attuazione del principio costituzionale di separazione dei poteri – sostituire proprie valutazioni a quelle effettuate dall’Autorità, ed è, pertanto, necessario che le parti interessate deducano l’esistenza di specifiche figure </w:t>
      </w:r>
      <w:r w:rsidR="00156AEB" w:rsidRPr="00B83170">
        <w:rPr>
          <w:rFonts w:ascii="Arial" w:eastAsia="Times New Roman" w:hAnsi="Arial" w:cs="Arial"/>
          <w:i/>
          <w:lang w:eastAsia="it-IT"/>
        </w:rPr>
        <w:lastRenderedPageBreak/>
        <w:t>sintomatiche dell’eccesso di potere mediante le quali dimostrare che la determinazione assunta si pone in contrasto con il suddetto principio di ragionevolezza tecnica</w:t>
      </w:r>
      <w:r w:rsidR="00156AEB" w:rsidRPr="00B83170">
        <w:rPr>
          <w:rFonts w:ascii="Arial" w:eastAsia="Times New Roman" w:hAnsi="Arial" w:cs="Arial"/>
          <w:lang w:eastAsia="it-IT"/>
        </w:rPr>
        <w:t>»</w:t>
      </w:r>
      <w:r w:rsidR="00156AEB" w:rsidRPr="00B83170">
        <w:rPr>
          <w:rStyle w:val="Rimandonotaapidipagina"/>
          <w:rFonts w:ascii="Arial" w:eastAsia="Times New Roman" w:hAnsi="Arial" w:cs="Arial"/>
          <w:lang w:eastAsia="it-IT"/>
        </w:rPr>
        <w:footnoteReference w:id="9"/>
      </w:r>
      <w:r w:rsidR="00156AEB" w:rsidRPr="00B83170">
        <w:rPr>
          <w:rFonts w:ascii="Arial" w:eastAsia="Times New Roman" w:hAnsi="Arial" w:cs="Arial"/>
          <w:lang w:eastAsia="it-IT"/>
        </w:rPr>
        <w:t>.</w:t>
      </w:r>
    </w:p>
    <w:p w:rsidR="002226A9" w:rsidRPr="00B83170" w:rsidRDefault="0042397A" w:rsidP="00B83170">
      <w:pPr>
        <w:autoSpaceDE w:val="0"/>
        <w:autoSpaceDN w:val="0"/>
        <w:adjustRightInd w:val="0"/>
        <w:spacing w:after="0" w:line="260" w:lineRule="exact"/>
        <w:ind w:firstLine="284"/>
        <w:jc w:val="both"/>
        <w:rPr>
          <w:rFonts w:ascii="Arial" w:hAnsi="Arial" w:cs="Arial"/>
        </w:rPr>
      </w:pPr>
      <w:r w:rsidRPr="00B83170">
        <w:rPr>
          <w:rFonts w:ascii="Arial" w:hAnsi="Arial" w:cs="Arial"/>
        </w:rPr>
        <w:t xml:space="preserve">Da tale affermazione </w:t>
      </w:r>
      <w:r w:rsidR="00381825" w:rsidRPr="00B83170">
        <w:rPr>
          <w:rFonts w:ascii="Arial" w:hAnsi="Arial" w:cs="Arial"/>
        </w:rPr>
        <w:t xml:space="preserve">di principio può ricavarsi che </w:t>
      </w:r>
      <w:r w:rsidRPr="00B83170">
        <w:rPr>
          <w:rFonts w:ascii="Arial" w:hAnsi="Arial" w:cs="Arial"/>
        </w:rPr>
        <w:t>la</w:t>
      </w:r>
      <w:r w:rsidR="002226A9" w:rsidRPr="00B83170">
        <w:rPr>
          <w:rFonts w:ascii="Arial" w:hAnsi="Arial" w:cs="Arial"/>
        </w:rPr>
        <w:t xml:space="preserve"> giurisprudenza amministrativa</w:t>
      </w:r>
      <w:r w:rsidR="00381825" w:rsidRPr="00B83170">
        <w:rPr>
          <w:rFonts w:ascii="Arial" w:hAnsi="Arial" w:cs="Arial"/>
        </w:rPr>
        <w:t>,</w:t>
      </w:r>
      <w:r w:rsidR="002226A9" w:rsidRPr="00B83170">
        <w:rPr>
          <w:rFonts w:ascii="Arial" w:hAnsi="Arial" w:cs="Arial"/>
        </w:rPr>
        <w:t xml:space="preserve"> </w:t>
      </w:r>
      <w:r w:rsidR="00381825" w:rsidRPr="00B83170">
        <w:rPr>
          <w:rFonts w:ascii="Arial" w:hAnsi="Arial" w:cs="Arial"/>
        </w:rPr>
        <w:t xml:space="preserve"> se da un lato </w:t>
      </w:r>
      <w:r w:rsidR="002226A9" w:rsidRPr="00B83170">
        <w:rPr>
          <w:rFonts w:ascii="Arial" w:hAnsi="Arial" w:cs="Arial"/>
        </w:rPr>
        <w:t xml:space="preserve">ritiene </w:t>
      </w:r>
      <w:r w:rsidR="00AA192E" w:rsidRPr="00B83170">
        <w:rPr>
          <w:rFonts w:ascii="Arial" w:hAnsi="Arial" w:cs="Arial"/>
        </w:rPr>
        <w:t>che</w:t>
      </w:r>
      <w:r w:rsidR="000C4DCD" w:rsidRPr="00B83170">
        <w:rPr>
          <w:rFonts w:ascii="Arial" w:hAnsi="Arial" w:cs="Arial"/>
        </w:rPr>
        <w:t xml:space="preserve"> l’ampia discrezionalità concessa dalla legge all’Autorità per l’esercizio del pot</w:t>
      </w:r>
      <w:r w:rsidR="00F25090" w:rsidRPr="00B83170">
        <w:rPr>
          <w:rFonts w:ascii="Arial" w:hAnsi="Arial" w:cs="Arial"/>
        </w:rPr>
        <w:t>ere di regolazione</w:t>
      </w:r>
      <w:r w:rsidR="007A789D" w:rsidRPr="00B83170">
        <w:rPr>
          <w:rFonts w:ascii="Arial" w:hAnsi="Arial" w:cs="Arial"/>
        </w:rPr>
        <w:t xml:space="preserve"> non costituisca una barriera invalicabile al proprio sindacato</w:t>
      </w:r>
      <w:r w:rsidR="00134284" w:rsidRPr="00B83170">
        <w:rPr>
          <w:rFonts w:ascii="Arial" w:hAnsi="Arial" w:cs="Arial"/>
        </w:rPr>
        <w:t xml:space="preserve">, dall’altro </w:t>
      </w:r>
      <w:r w:rsidR="00F25090" w:rsidRPr="00B83170">
        <w:rPr>
          <w:rFonts w:ascii="Arial" w:hAnsi="Arial" w:cs="Arial"/>
        </w:rPr>
        <w:t>considera</w:t>
      </w:r>
      <w:r w:rsidR="00134284" w:rsidRPr="00B83170">
        <w:rPr>
          <w:rFonts w:ascii="Arial" w:hAnsi="Arial" w:cs="Arial"/>
        </w:rPr>
        <w:t xml:space="preserve"> che il vaglio di legittimità sia confinato al</w:t>
      </w:r>
      <w:r w:rsidR="007A789D" w:rsidRPr="00B83170">
        <w:rPr>
          <w:rFonts w:ascii="Arial" w:hAnsi="Arial" w:cs="Arial"/>
        </w:rPr>
        <w:t xml:space="preserve"> </w:t>
      </w:r>
      <w:r w:rsidR="00134284" w:rsidRPr="00B83170">
        <w:rPr>
          <w:rFonts w:ascii="Arial" w:hAnsi="Arial" w:cs="Arial"/>
        </w:rPr>
        <w:t>livello</w:t>
      </w:r>
      <w:r w:rsidR="002226A9" w:rsidRPr="00B83170">
        <w:rPr>
          <w:rFonts w:ascii="Arial" w:hAnsi="Arial" w:cs="Arial"/>
        </w:rPr>
        <w:t xml:space="preserve"> </w:t>
      </w:r>
      <w:r w:rsidR="00C0074A" w:rsidRPr="00B83170">
        <w:rPr>
          <w:rFonts w:ascii="Arial" w:hAnsi="Arial" w:cs="Arial"/>
        </w:rPr>
        <w:t>estrinseco</w:t>
      </w:r>
      <w:r w:rsidR="00B24F78" w:rsidRPr="00B83170">
        <w:rPr>
          <w:rFonts w:ascii="Arial" w:hAnsi="Arial" w:cs="Arial"/>
        </w:rPr>
        <w:t xml:space="preserve"> </w:t>
      </w:r>
      <w:r w:rsidR="00134284" w:rsidRPr="00B83170">
        <w:rPr>
          <w:rFonts w:ascii="Arial" w:hAnsi="Arial" w:cs="Arial"/>
        </w:rPr>
        <w:t>dell’</w:t>
      </w:r>
      <w:r w:rsidR="002226A9" w:rsidRPr="00B83170">
        <w:rPr>
          <w:rFonts w:ascii="Arial" w:hAnsi="Arial" w:cs="Arial"/>
        </w:rPr>
        <w:t>eccesso di potere</w:t>
      </w:r>
      <w:r w:rsidR="000B7A7A" w:rsidRPr="00B83170">
        <w:rPr>
          <w:rFonts w:ascii="Arial" w:hAnsi="Arial" w:cs="Arial"/>
        </w:rPr>
        <w:t xml:space="preserve"> </w:t>
      </w:r>
      <w:r w:rsidR="004837C1" w:rsidRPr="00B83170">
        <w:rPr>
          <w:rFonts w:ascii="Arial" w:hAnsi="Arial" w:cs="Arial"/>
        </w:rPr>
        <w:t>.</w:t>
      </w:r>
    </w:p>
    <w:p w:rsidR="002226A9" w:rsidRPr="00B83170" w:rsidRDefault="00134284" w:rsidP="00B83170">
      <w:pPr>
        <w:spacing w:after="0" w:line="260" w:lineRule="exact"/>
        <w:ind w:firstLine="284"/>
        <w:jc w:val="both"/>
        <w:rPr>
          <w:rFonts w:ascii="Arial" w:eastAsia="Times New Roman" w:hAnsi="Arial" w:cs="Arial"/>
          <w:lang w:eastAsia="it-IT"/>
        </w:rPr>
      </w:pPr>
      <w:r w:rsidRPr="00B83170">
        <w:rPr>
          <w:rFonts w:ascii="Arial" w:eastAsia="Times New Roman" w:hAnsi="Arial" w:cs="Arial"/>
          <w:lang w:eastAsia="it-IT"/>
        </w:rPr>
        <w:t>Vieppiù si ricava che la tecnicità della scelta</w:t>
      </w:r>
      <w:r w:rsidR="00E838FC" w:rsidRPr="00B83170">
        <w:rPr>
          <w:rFonts w:ascii="Arial" w:eastAsia="Times New Roman" w:hAnsi="Arial" w:cs="Arial"/>
          <w:lang w:eastAsia="it-IT"/>
        </w:rPr>
        <w:t xml:space="preserve"> comporti una sorta di specialità della ragionevolezza che deve guidarne l’esercizio.</w:t>
      </w:r>
    </w:p>
    <w:p w:rsidR="00156AEB" w:rsidRPr="00B83170" w:rsidRDefault="00E838FC" w:rsidP="00B83170">
      <w:pPr>
        <w:spacing w:after="0" w:line="260" w:lineRule="exact"/>
        <w:ind w:firstLine="284"/>
        <w:jc w:val="both"/>
        <w:rPr>
          <w:rFonts w:ascii="Arial" w:hAnsi="Arial" w:cs="Arial"/>
        </w:rPr>
      </w:pPr>
      <w:r w:rsidRPr="00B83170">
        <w:rPr>
          <w:rFonts w:ascii="Arial" w:eastAsia="Times New Roman" w:hAnsi="Arial" w:cs="Arial"/>
          <w:lang w:eastAsia="it-IT"/>
        </w:rPr>
        <w:t>A tal proposito</w:t>
      </w:r>
      <w:r w:rsidR="00145209" w:rsidRPr="00B83170">
        <w:rPr>
          <w:rFonts w:ascii="Arial" w:eastAsia="Times New Roman" w:hAnsi="Arial" w:cs="Arial"/>
          <w:lang w:eastAsia="it-IT"/>
        </w:rPr>
        <w:t xml:space="preserve"> peraltro</w:t>
      </w:r>
      <w:r w:rsidR="002226A9" w:rsidRPr="00B83170">
        <w:rPr>
          <w:rFonts w:ascii="Arial" w:eastAsia="Times New Roman" w:hAnsi="Arial" w:cs="Arial"/>
          <w:lang w:eastAsia="it-IT"/>
        </w:rPr>
        <w:t xml:space="preserve"> l</w:t>
      </w:r>
      <w:r w:rsidR="00156AEB" w:rsidRPr="00B83170">
        <w:rPr>
          <w:rFonts w:ascii="Arial" w:eastAsia="Times New Roman" w:hAnsi="Arial" w:cs="Arial"/>
          <w:lang w:eastAsia="it-IT"/>
        </w:rPr>
        <w:t xml:space="preserve">a dottrina aveva già messo in luce come la ragionevolezza </w:t>
      </w:r>
      <w:r w:rsidR="00134284" w:rsidRPr="00B83170">
        <w:rPr>
          <w:rFonts w:ascii="Arial" w:eastAsia="Times New Roman" w:hAnsi="Arial" w:cs="Arial"/>
          <w:lang w:eastAsia="it-IT"/>
        </w:rPr>
        <w:t xml:space="preserve">che deve </w:t>
      </w:r>
      <w:r w:rsidRPr="00B83170">
        <w:rPr>
          <w:rFonts w:ascii="Arial" w:eastAsia="Times New Roman" w:hAnsi="Arial" w:cs="Arial"/>
          <w:lang w:eastAsia="it-IT"/>
        </w:rPr>
        <w:t>connotare</w:t>
      </w:r>
      <w:r w:rsidR="00156AEB" w:rsidRPr="00B83170">
        <w:rPr>
          <w:rFonts w:ascii="Arial" w:eastAsia="Times New Roman" w:hAnsi="Arial" w:cs="Arial"/>
          <w:lang w:eastAsia="it-IT"/>
        </w:rPr>
        <w:t xml:space="preserve"> il potere di regolazione delle </w:t>
      </w:r>
      <w:r w:rsidR="00156AEB" w:rsidRPr="00B83170">
        <w:rPr>
          <w:rFonts w:ascii="Arial" w:eastAsia="Times New Roman" w:hAnsi="Arial" w:cs="Arial"/>
          <w:i/>
          <w:lang w:eastAsia="it-IT"/>
        </w:rPr>
        <w:t>Aut</w:t>
      </w:r>
      <w:r w:rsidR="00074CB9" w:rsidRPr="00B83170">
        <w:rPr>
          <w:rFonts w:ascii="Arial" w:eastAsia="Times New Roman" w:hAnsi="Arial" w:cs="Arial"/>
          <w:i/>
          <w:lang w:eastAsia="it-IT"/>
        </w:rPr>
        <w:t>h</w:t>
      </w:r>
      <w:r w:rsidR="00156AEB" w:rsidRPr="00B83170">
        <w:rPr>
          <w:rFonts w:ascii="Arial" w:eastAsia="Times New Roman" w:hAnsi="Arial" w:cs="Arial"/>
          <w:i/>
          <w:lang w:eastAsia="it-IT"/>
        </w:rPr>
        <w:t>orities</w:t>
      </w:r>
      <w:r w:rsidR="00156AEB" w:rsidRPr="00B83170">
        <w:rPr>
          <w:rFonts w:ascii="Arial" w:eastAsia="Times New Roman" w:hAnsi="Arial" w:cs="Arial"/>
          <w:lang w:eastAsia="it-IT"/>
        </w:rPr>
        <w:t xml:space="preserve"> dei servizi di pubblica utilità debba essere</w:t>
      </w:r>
      <w:r w:rsidR="00156AEB" w:rsidRPr="00B83170">
        <w:rPr>
          <w:rFonts w:ascii="Arial" w:hAnsi="Arial" w:cs="Arial"/>
        </w:rPr>
        <w:t xml:space="preserve"> non una ragionevolezza astratta (non adatta al contesto di riferimento), ma una «</w:t>
      </w:r>
      <w:r w:rsidR="00156AEB" w:rsidRPr="00B83170">
        <w:rPr>
          <w:rFonts w:ascii="Arial" w:hAnsi="Arial" w:cs="Arial"/>
          <w:i/>
        </w:rPr>
        <w:t>ragionevolezza economica</w:t>
      </w:r>
      <w:r w:rsidR="00156AEB" w:rsidRPr="00B83170">
        <w:rPr>
          <w:rFonts w:ascii="Arial" w:hAnsi="Arial" w:cs="Arial"/>
        </w:rPr>
        <w:t>»</w:t>
      </w:r>
      <w:r w:rsidR="00156AEB" w:rsidRPr="00B83170">
        <w:rPr>
          <w:rStyle w:val="Rimandonotaapidipagina"/>
          <w:rFonts w:ascii="Arial" w:hAnsi="Arial" w:cs="Arial"/>
        </w:rPr>
        <w:footnoteReference w:id="10"/>
      </w:r>
      <w:r w:rsidR="00156AEB" w:rsidRPr="00B83170">
        <w:rPr>
          <w:rFonts w:ascii="Arial" w:hAnsi="Arial" w:cs="Arial"/>
        </w:rPr>
        <w:t>.</w:t>
      </w:r>
    </w:p>
    <w:p w:rsidR="002226A9" w:rsidRPr="00B83170" w:rsidRDefault="002226A9" w:rsidP="00B83170">
      <w:pPr>
        <w:spacing w:after="0" w:line="260" w:lineRule="exact"/>
        <w:ind w:firstLine="284"/>
        <w:jc w:val="both"/>
        <w:rPr>
          <w:rFonts w:ascii="Arial" w:hAnsi="Arial" w:cs="Arial"/>
        </w:rPr>
      </w:pPr>
      <w:r w:rsidRPr="00B83170">
        <w:rPr>
          <w:rFonts w:ascii="Arial" w:hAnsi="Arial" w:cs="Arial"/>
        </w:rPr>
        <w:t xml:space="preserve">Si tratta ora di capire </w:t>
      </w:r>
      <w:r w:rsidR="00E06C28" w:rsidRPr="00B83170">
        <w:rPr>
          <w:rFonts w:ascii="Arial" w:hAnsi="Arial" w:cs="Arial"/>
        </w:rPr>
        <w:t>cosa la giurisprudenza intenda per irragionevolezza tecnica</w:t>
      </w:r>
      <w:r w:rsidR="007131E3" w:rsidRPr="00B83170">
        <w:rPr>
          <w:rFonts w:ascii="Arial" w:hAnsi="Arial" w:cs="Arial"/>
        </w:rPr>
        <w:t xml:space="preserve"> e</w:t>
      </w:r>
      <w:r w:rsidR="00E06C28" w:rsidRPr="00B83170">
        <w:rPr>
          <w:rFonts w:ascii="Arial" w:hAnsi="Arial" w:cs="Arial"/>
        </w:rPr>
        <w:t xml:space="preserve"> </w:t>
      </w:r>
      <w:r w:rsidRPr="00B83170">
        <w:rPr>
          <w:rFonts w:ascii="Arial" w:hAnsi="Arial" w:cs="Arial"/>
        </w:rPr>
        <w:t xml:space="preserve">quali </w:t>
      </w:r>
      <w:r w:rsidR="00E838FC" w:rsidRPr="00B83170">
        <w:rPr>
          <w:rFonts w:ascii="Arial" w:hAnsi="Arial" w:cs="Arial"/>
        </w:rPr>
        <w:t xml:space="preserve">figure </w:t>
      </w:r>
      <w:r w:rsidRPr="00B83170">
        <w:rPr>
          <w:rFonts w:ascii="Arial" w:hAnsi="Arial" w:cs="Arial"/>
        </w:rPr>
        <w:t xml:space="preserve">sintomatiche di eccesso di potere </w:t>
      </w:r>
      <w:r w:rsidR="00E838FC" w:rsidRPr="00B83170">
        <w:rPr>
          <w:rFonts w:ascii="Arial" w:hAnsi="Arial" w:cs="Arial"/>
        </w:rPr>
        <w:t xml:space="preserve">vengono ritenute compatibili </w:t>
      </w:r>
      <w:r w:rsidR="007131E3" w:rsidRPr="00B83170">
        <w:rPr>
          <w:rFonts w:ascii="Arial" w:hAnsi="Arial" w:cs="Arial"/>
        </w:rPr>
        <w:t>con tale concetto</w:t>
      </w:r>
      <w:r w:rsidRPr="00B83170">
        <w:rPr>
          <w:rFonts w:ascii="Arial" w:hAnsi="Arial" w:cs="Arial"/>
        </w:rPr>
        <w:t>.</w:t>
      </w:r>
    </w:p>
    <w:p w:rsidR="00145209" w:rsidRPr="00B83170" w:rsidRDefault="00BC066F" w:rsidP="00B83170">
      <w:pPr>
        <w:spacing w:after="0" w:line="260" w:lineRule="exact"/>
        <w:ind w:firstLine="284"/>
        <w:jc w:val="both"/>
        <w:rPr>
          <w:rFonts w:ascii="Arial" w:hAnsi="Arial" w:cs="Arial"/>
        </w:rPr>
      </w:pPr>
      <w:r w:rsidRPr="00B83170">
        <w:rPr>
          <w:rFonts w:ascii="Arial" w:hAnsi="Arial" w:cs="Arial"/>
        </w:rPr>
        <w:t>Ebbene, d</w:t>
      </w:r>
      <w:r w:rsidR="00145209" w:rsidRPr="00B83170">
        <w:rPr>
          <w:rFonts w:ascii="Arial" w:hAnsi="Arial" w:cs="Arial"/>
        </w:rPr>
        <w:t xml:space="preserve">all’esame degli ultimi arresti pretori, un primo dato che si può ricavare è che, di fronte alla contestazione della scelta tecnica operata dall’AEEGSI, il giudice tenda in primo luogo a verificare il </w:t>
      </w:r>
      <w:r w:rsidR="00145209" w:rsidRPr="00B83170">
        <w:rPr>
          <w:rFonts w:ascii="Arial" w:hAnsi="Arial" w:cs="Arial"/>
          <w:i/>
        </w:rPr>
        <w:t>modus procedendi</w:t>
      </w:r>
      <w:r w:rsidR="004837C1" w:rsidRPr="00B83170">
        <w:rPr>
          <w:rFonts w:ascii="Arial" w:hAnsi="Arial" w:cs="Arial"/>
        </w:rPr>
        <w:t xml:space="preserve"> e la logica interna della decisione dell’Autorità</w:t>
      </w:r>
      <w:r w:rsidR="00145209" w:rsidRPr="00B83170">
        <w:rPr>
          <w:rFonts w:ascii="Arial" w:hAnsi="Arial" w:cs="Arial"/>
        </w:rPr>
        <w:t>.</w:t>
      </w:r>
    </w:p>
    <w:p w:rsidR="00193A96" w:rsidRPr="00B83170" w:rsidRDefault="00AE4B27" w:rsidP="00B83170">
      <w:pPr>
        <w:spacing w:after="0" w:line="260" w:lineRule="exact"/>
        <w:ind w:firstLine="284"/>
        <w:jc w:val="both"/>
        <w:rPr>
          <w:rFonts w:ascii="Arial" w:eastAsia="Times New Roman" w:hAnsi="Arial" w:cs="Arial"/>
          <w:lang w:eastAsia="it-IT"/>
        </w:rPr>
      </w:pPr>
      <w:r w:rsidRPr="00B83170">
        <w:rPr>
          <w:rFonts w:ascii="Arial" w:eastAsia="Times New Roman" w:hAnsi="Arial" w:cs="Arial"/>
          <w:lang w:eastAsia="it-IT"/>
        </w:rPr>
        <w:t xml:space="preserve">E così </w:t>
      </w:r>
      <w:r w:rsidR="007169B1" w:rsidRPr="00B83170">
        <w:rPr>
          <w:rFonts w:ascii="Arial" w:eastAsia="Times New Roman" w:hAnsi="Arial" w:cs="Arial"/>
          <w:lang w:eastAsia="it-IT"/>
        </w:rPr>
        <w:t xml:space="preserve">è stata ritenuta irragionevole la </w:t>
      </w:r>
      <w:r w:rsidRPr="00B83170">
        <w:rPr>
          <w:rFonts w:ascii="Arial" w:eastAsia="Times New Roman" w:hAnsi="Arial" w:cs="Arial"/>
          <w:lang w:eastAsia="it-IT"/>
        </w:rPr>
        <w:t>decisione sotto i profili</w:t>
      </w:r>
      <w:r w:rsidR="00616856" w:rsidRPr="00B83170">
        <w:rPr>
          <w:rFonts w:ascii="Arial" w:eastAsia="Times New Roman" w:hAnsi="Arial" w:cs="Arial"/>
          <w:lang w:eastAsia="it-IT"/>
        </w:rPr>
        <w:t xml:space="preserve"> di</w:t>
      </w:r>
      <w:r w:rsidR="00EB0428" w:rsidRPr="00B83170">
        <w:rPr>
          <w:rFonts w:ascii="Arial" w:eastAsia="Times New Roman" w:hAnsi="Arial" w:cs="Arial"/>
          <w:lang w:eastAsia="it-IT"/>
        </w:rPr>
        <w:t xml:space="preserve"> difetto di istruttoria,</w:t>
      </w:r>
      <w:r w:rsidR="00145209" w:rsidRPr="00B83170">
        <w:rPr>
          <w:rFonts w:ascii="Arial" w:eastAsia="Times New Roman" w:hAnsi="Arial" w:cs="Arial"/>
          <w:lang w:eastAsia="it-IT"/>
        </w:rPr>
        <w:t xml:space="preserve"> </w:t>
      </w:r>
      <w:r w:rsidR="00193A96" w:rsidRPr="00B83170">
        <w:rPr>
          <w:rFonts w:ascii="Arial" w:eastAsia="Times New Roman" w:hAnsi="Arial" w:cs="Arial"/>
          <w:lang w:eastAsia="it-IT"/>
        </w:rPr>
        <w:t xml:space="preserve"> contraddittorietà interna </w:t>
      </w:r>
      <w:r w:rsidR="00616856" w:rsidRPr="00B83170">
        <w:rPr>
          <w:rFonts w:ascii="Arial" w:eastAsia="Times New Roman" w:hAnsi="Arial" w:cs="Arial"/>
          <w:lang w:eastAsia="it-IT"/>
        </w:rPr>
        <w:t>e</w:t>
      </w:r>
      <w:r w:rsidR="00EB0428" w:rsidRPr="00B83170">
        <w:rPr>
          <w:rFonts w:ascii="Arial" w:eastAsia="Times New Roman" w:hAnsi="Arial" w:cs="Arial"/>
          <w:lang w:eastAsia="it-IT"/>
        </w:rPr>
        <w:t xml:space="preserve"> difetto di motivazione </w:t>
      </w:r>
      <w:r w:rsidR="007169B1" w:rsidRPr="00B83170">
        <w:rPr>
          <w:rFonts w:ascii="Arial" w:eastAsia="Times New Roman" w:hAnsi="Arial" w:cs="Arial"/>
          <w:lang w:eastAsia="it-IT"/>
        </w:rPr>
        <w:t>in un caso in cui l’AEEGSI aveva definito</w:t>
      </w:r>
      <w:r w:rsidRPr="00B83170">
        <w:rPr>
          <w:rFonts w:ascii="Arial" w:eastAsia="Times New Roman" w:hAnsi="Arial" w:cs="Arial"/>
          <w:lang w:eastAsia="it-IT"/>
        </w:rPr>
        <w:t xml:space="preserve"> una componente tariffaria </w:t>
      </w:r>
      <w:r w:rsidR="007169B1" w:rsidRPr="00B83170">
        <w:rPr>
          <w:rFonts w:ascii="Arial" w:eastAsia="Times New Roman" w:hAnsi="Arial" w:cs="Arial"/>
          <w:lang w:eastAsia="it-IT"/>
        </w:rPr>
        <w:t>in contraddizione</w:t>
      </w:r>
      <w:r w:rsidRPr="00B83170">
        <w:rPr>
          <w:rFonts w:ascii="Arial" w:eastAsia="Times New Roman" w:hAnsi="Arial" w:cs="Arial"/>
          <w:lang w:eastAsia="it-IT"/>
        </w:rPr>
        <w:t xml:space="preserve"> con le premesse fissate dalla stessa</w:t>
      </w:r>
      <w:r w:rsidR="00145209" w:rsidRPr="00B83170">
        <w:rPr>
          <w:rFonts w:ascii="Arial" w:eastAsia="Times New Roman" w:hAnsi="Arial" w:cs="Arial"/>
          <w:lang w:eastAsia="it-IT"/>
        </w:rPr>
        <w:t xml:space="preserve"> AEEGSI </w:t>
      </w:r>
      <w:r w:rsidRPr="00B83170">
        <w:rPr>
          <w:rFonts w:ascii="Arial" w:eastAsia="Times New Roman" w:hAnsi="Arial" w:cs="Arial"/>
          <w:lang w:eastAsia="it-IT"/>
        </w:rPr>
        <w:t xml:space="preserve">per </w:t>
      </w:r>
      <w:r w:rsidR="007169B1" w:rsidRPr="00B83170">
        <w:rPr>
          <w:rFonts w:ascii="Arial" w:eastAsia="Times New Roman" w:hAnsi="Arial" w:cs="Arial"/>
          <w:lang w:eastAsia="it-IT"/>
        </w:rPr>
        <w:t>il proprio intervento tariffario</w:t>
      </w:r>
      <w:r w:rsidR="00145209" w:rsidRPr="00B83170">
        <w:rPr>
          <w:rStyle w:val="Rimandonotaapidipagina"/>
          <w:rFonts w:ascii="Arial" w:eastAsia="Times New Roman" w:hAnsi="Arial" w:cs="Arial"/>
          <w:lang w:eastAsia="it-IT"/>
        </w:rPr>
        <w:footnoteReference w:id="11"/>
      </w:r>
      <w:r w:rsidR="00193A96" w:rsidRPr="00B83170">
        <w:rPr>
          <w:rFonts w:ascii="Arial" w:eastAsia="Times New Roman" w:hAnsi="Arial" w:cs="Arial"/>
          <w:lang w:eastAsia="it-IT"/>
        </w:rPr>
        <w:t>.</w:t>
      </w:r>
    </w:p>
    <w:p w:rsidR="00E06C28" w:rsidRPr="00B83170" w:rsidRDefault="00193A96" w:rsidP="00B83170">
      <w:pPr>
        <w:spacing w:after="0" w:line="260" w:lineRule="exact"/>
        <w:ind w:firstLine="284"/>
        <w:jc w:val="both"/>
        <w:rPr>
          <w:rFonts w:ascii="Arial" w:eastAsia="Times New Roman" w:hAnsi="Arial" w:cs="Arial"/>
          <w:lang w:eastAsia="it-IT"/>
        </w:rPr>
      </w:pPr>
      <w:r w:rsidRPr="00B83170">
        <w:rPr>
          <w:rFonts w:ascii="Arial" w:eastAsia="Times New Roman" w:hAnsi="Arial" w:cs="Arial"/>
          <w:lang w:eastAsia="it-IT"/>
        </w:rPr>
        <w:t xml:space="preserve">In </w:t>
      </w:r>
      <w:r w:rsidR="00BC066F" w:rsidRPr="00B83170">
        <w:rPr>
          <w:rFonts w:ascii="Arial" w:eastAsia="Times New Roman" w:hAnsi="Arial" w:cs="Arial"/>
          <w:lang w:eastAsia="it-IT"/>
        </w:rPr>
        <w:t>altra vicenda</w:t>
      </w:r>
      <w:r w:rsidRPr="00B83170">
        <w:rPr>
          <w:rFonts w:ascii="Arial" w:eastAsia="Times New Roman" w:hAnsi="Arial" w:cs="Arial"/>
          <w:lang w:eastAsia="it-IT"/>
        </w:rPr>
        <w:t xml:space="preserve"> </w:t>
      </w:r>
      <w:r w:rsidR="007169B1" w:rsidRPr="00B83170">
        <w:rPr>
          <w:rFonts w:ascii="Arial" w:eastAsia="Times New Roman" w:hAnsi="Arial" w:cs="Arial"/>
          <w:lang w:eastAsia="it-IT"/>
        </w:rPr>
        <w:t>l’irragionevolezza è stata sancita in relazione all’</w:t>
      </w:r>
      <w:r w:rsidR="00C917B2" w:rsidRPr="00B83170">
        <w:rPr>
          <w:rFonts w:ascii="Arial" w:eastAsia="Times New Roman" w:hAnsi="Arial" w:cs="Arial"/>
          <w:lang w:eastAsia="it-IT"/>
        </w:rPr>
        <w:t>insussistenza</w:t>
      </w:r>
      <w:r w:rsidRPr="00B83170">
        <w:rPr>
          <w:rFonts w:ascii="Arial" w:eastAsia="Times New Roman" w:hAnsi="Arial" w:cs="Arial"/>
          <w:lang w:eastAsia="it-IT"/>
        </w:rPr>
        <w:t xml:space="preserve"> dei presupposti di fatto </w:t>
      </w:r>
      <w:r w:rsidR="007169B1" w:rsidRPr="00B83170">
        <w:rPr>
          <w:rFonts w:ascii="Arial" w:eastAsia="Times New Roman" w:hAnsi="Arial" w:cs="Arial"/>
          <w:lang w:eastAsia="it-IT"/>
        </w:rPr>
        <w:t>posti a base dell</w:t>
      </w:r>
      <w:r w:rsidR="00616856" w:rsidRPr="00B83170">
        <w:rPr>
          <w:rFonts w:ascii="Arial" w:eastAsia="Times New Roman" w:hAnsi="Arial" w:cs="Arial"/>
          <w:lang w:eastAsia="it-IT"/>
        </w:rPr>
        <w:t>a modifica tariffaria</w:t>
      </w:r>
      <w:r w:rsidR="00E62B46" w:rsidRPr="00B83170">
        <w:rPr>
          <w:rFonts w:ascii="Arial" w:eastAsia="Times New Roman" w:hAnsi="Arial" w:cs="Arial"/>
          <w:lang w:eastAsia="it-IT"/>
        </w:rPr>
        <w:t>, insussistenza</w:t>
      </w:r>
      <w:r w:rsidR="00616856" w:rsidRPr="00B83170">
        <w:rPr>
          <w:rFonts w:ascii="Arial" w:eastAsia="Times New Roman" w:hAnsi="Arial" w:cs="Arial"/>
          <w:lang w:eastAsia="it-IT"/>
        </w:rPr>
        <w:t xml:space="preserve"> rilevata sulla scorta</w:t>
      </w:r>
      <w:r w:rsidR="00145209" w:rsidRPr="00B83170">
        <w:rPr>
          <w:rFonts w:ascii="Arial" w:eastAsia="Times New Roman" w:hAnsi="Arial" w:cs="Arial"/>
          <w:lang w:eastAsia="it-IT"/>
        </w:rPr>
        <w:t xml:space="preserve"> di atti istruttori compiuti </w:t>
      </w:r>
      <w:r w:rsidR="00E06C28" w:rsidRPr="00B83170">
        <w:rPr>
          <w:rFonts w:ascii="Arial" w:eastAsia="Times New Roman" w:hAnsi="Arial" w:cs="Arial"/>
          <w:lang w:eastAsia="it-IT"/>
        </w:rPr>
        <w:t>dal G</w:t>
      </w:r>
      <w:r w:rsidR="00463284" w:rsidRPr="00B83170">
        <w:rPr>
          <w:rFonts w:ascii="Arial" w:eastAsia="Times New Roman" w:hAnsi="Arial" w:cs="Arial"/>
          <w:lang w:eastAsia="it-IT"/>
        </w:rPr>
        <w:t>estore della rete T</w:t>
      </w:r>
      <w:r w:rsidR="00EB0428" w:rsidRPr="00B83170">
        <w:rPr>
          <w:rFonts w:ascii="Arial" w:eastAsia="Times New Roman" w:hAnsi="Arial" w:cs="Arial"/>
          <w:lang w:eastAsia="it-IT"/>
        </w:rPr>
        <w:t>erna S.p.A.</w:t>
      </w:r>
      <w:r w:rsidR="00E06C28" w:rsidRPr="00B83170">
        <w:rPr>
          <w:rFonts w:ascii="Arial" w:eastAsia="Times New Roman" w:hAnsi="Arial" w:cs="Arial"/>
          <w:lang w:eastAsia="it-IT"/>
        </w:rPr>
        <w:t xml:space="preserve"> su incarico della stessa AEEGSI</w:t>
      </w:r>
      <w:r w:rsidR="00145209" w:rsidRPr="00B83170">
        <w:rPr>
          <w:rFonts w:ascii="Arial" w:eastAsia="Times New Roman" w:hAnsi="Arial" w:cs="Arial"/>
          <w:lang w:eastAsia="it-IT"/>
        </w:rPr>
        <w:t xml:space="preserve"> </w:t>
      </w:r>
      <w:r w:rsidR="00E06C28" w:rsidRPr="00B83170">
        <w:rPr>
          <w:rFonts w:ascii="Arial" w:eastAsia="Times New Roman" w:hAnsi="Arial" w:cs="Arial"/>
          <w:lang w:eastAsia="it-IT"/>
        </w:rPr>
        <w:t>a seguito dell’adozione della delibera</w:t>
      </w:r>
      <w:r w:rsidR="00145209" w:rsidRPr="00B83170">
        <w:rPr>
          <w:rStyle w:val="Rimandonotaapidipagina"/>
          <w:rFonts w:ascii="Arial" w:eastAsia="Times New Roman" w:hAnsi="Arial" w:cs="Arial"/>
          <w:lang w:eastAsia="it-IT"/>
        </w:rPr>
        <w:footnoteReference w:id="12"/>
      </w:r>
      <w:r w:rsidR="00145209" w:rsidRPr="00B83170">
        <w:rPr>
          <w:rFonts w:ascii="Arial" w:eastAsia="Times New Roman" w:hAnsi="Arial" w:cs="Arial"/>
          <w:lang w:eastAsia="it-IT"/>
        </w:rPr>
        <w:t>.</w:t>
      </w:r>
    </w:p>
    <w:p w:rsidR="007131E3" w:rsidRPr="00B83170" w:rsidRDefault="007131E3" w:rsidP="00B83170">
      <w:pPr>
        <w:spacing w:after="0" w:line="260" w:lineRule="exact"/>
        <w:ind w:firstLine="284"/>
        <w:jc w:val="both"/>
        <w:rPr>
          <w:rFonts w:ascii="Arial" w:eastAsia="Times New Roman" w:hAnsi="Arial" w:cs="Arial"/>
          <w:lang w:eastAsia="it-IT"/>
        </w:rPr>
      </w:pPr>
      <w:r w:rsidRPr="00B83170">
        <w:rPr>
          <w:rFonts w:ascii="Arial" w:eastAsia="Times New Roman" w:hAnsi="Arial" w:cs="Arial"/>
          <w:lang w:eastAsia="it-IT"/>
        </w:rPr>
        <w:lastRenderedPageBreak/>
        <w:t>Parrebbe dall’osservazione di tali pronunce che il giudice ritenga di attestare il livello del proprio sindacato al concetto di manifesta irragionevolezza e palese eccesso di potere.</w:t>
      </w:r>
    </w:p>
    <w:p w:rsidR="00E06C28" w:rsidRPr="00B83170" w:rsidRDefault="00E06C28" w:rsidP="00B83170">
      <w:pPr>
        <w:spacing w:after="0" w:line="260" w:lineRule="exact"/>
        <w:ind w:firstLine="284"/>
        <w:jc w:val="both"/>
        <w:rPr>
          <w:rFonts w:ascii="Arial" w:eastAsia="Times New Roman" w:hAnsi="Arial" w:cs="Arial"/>
          <w:lang w:eastAsia="it-IT"/>
        </w:rPr>
      </w:pPr>
      <w:r w:rsidRPr="00B83170">
        <w:rPr>
          <w:rFonts w:ascii="Arial" w:eastAsia="Times New Roman" w:hAnsi="Arial" w:cs="Arial"/>
          <w:lang w:eastAsia="it-IT"/>
        </w:rPr>
        <w:t xml:space="preserve">L’analisi </w:t>
      </w:r>
      <w:r w:rsidR="007131E3" w:rsidRPr="00B83170">
        <w:rPr>
          <w:rFonts w:ascii="Arial" w:eastAsia="Times New Roman" w:hAnsi="Arial" w:cs="Arial"/>
          <w:lang w:eastAsia="it-IT"/>
        </w:rPr>
        <w:t>di ulteriori</w:t>
      </w:r>
      <w:r w:rsidRPr="00B83170">
        <w:rPr>
          <w:rFonts w:ascii="Arial" w:eastAsia="Times New Roman" w:hAnsi="Arial" w:cs="Arial"/>
          <w:lang w:eastAsia="it-IT"/>
        </w:rPr>
        <w:t xml:space="preserve"> pronunce mostra tuttavia </w:t>
      </w:r>
      <w:r w:rsidR="007131E3" w:rsidRPr="00B83170">
        <w:rPr>
          <w:rFonts w:ascii="Arial" w:eastAsia="Times New Roman" w:hAnsi="Arial" w:cs="Arial"/>
          <w:lang w:eastAsia="it-IT"/>
        </w:rPr>
        <w:t>come</w:t>
      </w:r>
      <w:r w:rsidRPr="00B83170">
        <w:rPr>
          <w:rFonts w:ascii="Arial" w:eastAsia="Times New Roman" w:hAnsi="Arial" w:cs="Arial"/>
          <w:lang w:eastAsia="it-IT"/>
        </w:rPr>
        <w:t xml:space="preserve"> in alcuni casi </w:t>
      </w:r>
      <w:r w:rsidR="007131E3" w:rsidRPr="00B83170">
        <w:rPr>
          <w:rFonts w:ascii="Arial" w:eastAsia="Times New Roman" w:hAnsi="Arial" w:cs="Arial"/>
          <w:lang w:eastAsia="it-IT"/>
        </w:rPr>
        <w:t>la censura del giudican</w:t>
      </w:r>
      <w:r w:rsidR="00C0074A" w:rsidRPr="00B83170">
        <w:rPr>
          <w:rFonts w:ascii="Arial" w:eastAsia="Times New Roman" w:hAnsi="Arial" w:cs="Arial"/>
          <w:lang w:eastAsia="it-IT"/>
        </w:rPr>
        <w:t>te si spinga più in profondità</w:t>
      </w:r>
      <w:r w:rsidR="002C61E0" w:rsidRPr="00B83170">
        <w:rPr>
          <w:rFonts w:ascii="Arial" w:eastAsia="Times New Roman" w:hAnsi="Arial" w:cs="Arial"/>
          <w:lang w:eastAsia="it-IT"/>
        </w:rPr>
        <w:t>, fino a lambire in qualche modo il merito della scelta regolatoria.</w:t>
      </w:r>
      <w:r w:rsidRPr="00B83170">
        <w:rPr>
          <w:rFonts w:ascii="Arial" w:eastAsia="Times New Roman" w:hAnsi="Arial" w:cs="Arial"/>
          <w:lang w:eastAsia="it-IT"/>
        </w:rPr>
        <w:t xml:space="preserve"> </w:t>
      </w:r>
    </w:p>
    <w:p w:rsidR="00D06C11" w:rsidRPr="00B83170" w:rsidRDefault="007131E3" w:rsidP="00B83170">
      <w:pPr>
        <w:spacing w:after="0" w:line="260" w:lineRule="exact"/>
        <w:ind w:firstLine="284"/>
        <w:jc w:val="both"/>
        <w:rPr>
          <w:rFonts w:ascii="Arial" w:hAnsi="Arial" w:cs="Arial"/>
        </w:rPr>
      </w:pPr>
      <w:r w:rsidRPr="00B83170">
        <w:rPr>
          <w:rFonts w:ascii="Arial" w:hAnsi="Arial" w:cs="Arial"/>
        </w:rPr>
        <w:t>Lo strumento adoperato in tal senso è innanzitutto</w:t>
      </w:r>
      <w:r w:rsidR="00D06C11" w:rsidRPr="00B83170">
        <w:rPr>
          <w:rFonts w:ascii="Arial" w:hAnsi="Arial" w:cs="Arial"/>
        </w:rPr>
        <w:t xml:space="preserve"> il principio di non discriminazione</w:t>
      </w:r>
      <w:r w:rsidR="00D06C11" w:rsidRPr="00B83170">
        <w:rPr>
          <w:rFonts w:ascii="Arial" w:eastAsia="Times New Roman" w:hAnsi="Arial" w:cs="Arial"/>
          <w:lang w:eastAsia="it-IT"/>
        </w:rPr>
        <w:t xml:space="preserve">, in una accezione però particolare e conforme alle finalità della regolazione </w:t>
      </w:r>
      <w:r w:rsidRPr="00B83170">
        <w:rPr>
          <w:rFonts w:ascii="Arial" w:eastAsia="Times New Roman" w:hAnsi="Arial" w:cs="Arial"/>
          <w:lang w:eastAsia="it-IT"/>
        </w:rPr>
        <w:t>pro-concorrenziale, ovverosia l’agevolazione della massima apertura del mercato</w:t>
      </w:r>
      <w:r w:rsidR="00D06C11" w:rsidRPr="00B83170">
        <w:rPr>
          <w:rFonts w:ascii="Arial" w:eastAsia="Times New Roman" w:hAnsi="Arial" w:cs="Arial"/>
          <w:lang w:eastAsia="it-IT"/>
        </w:rPr>
        <w:t xml:space="preserve">. </w:t>
      </w:r>
    </w:p>
    <w:p w:rsidR="00D06C11" w:rsidRPr="00B83170" w:rsidRDefault="00D06C11" w:rsidP="00B83170">
      <w:pPr>
        <w:spacing w:after="0" w:line="260" w:lineRule="exact"/>
        <w:ind w:firstLine="284"/>
        <w:jc w:val="both"/>
        <w:rPr>
          <w:rFonts w:ascii="Arial" w:eastAsia="Times New Roman" w:hAnsi="Arial" w:cs="Arial"/>
          <w:lang w:eastAsia="it-IT"/>
        </w:rPr>
      </w:pPr>
      <w:r w:rsidRPr="00B83170">
        <w:rPr>
          <w:rFonts w:ascii="Arial" w:eastAsia="Times New Roman" w:hAnsi="Arial" w:cs="Arial"/>
          <w:lang w:eastAsia="it-IT"/>
        </w:rPr>
        <w:t>E così viene ritenuto in particolare discriminatoria una m</w:t>
      </w:r>
      <w:r w:rsidR="002A6BAE" w:rsidRPr="00B83170">
        <w:rPr>
          <w:rFonts w:ascii="Arial" w:eastAsia="Times New Roman" w:hAnsi="Arial" w:cs="Arial"/>
          <w:lang w:eastAsia="it-IT"/>
        </w:rPr>
        <w:t>isura che</w:t>
      </w:r>
      <w:r w:rsidR="00C639F3" w:rsidRPr="00B83170">
        <w:rPr>
          <w:rFonts w:ascii="Arial" w:eastAsia="Times New Roman" w:hAnsi="Arial" w:cs="Arial"/>
          <w:lang w:eastAsia="it-IT"/>
        </w:rPr>
        <w:t xml:space="preserve">, </w:t>
      </w:r>
      <w:r w:rsidR="002A6BAE" w:rsidRPr="00B83170">
        <w:rPr>
          <w:rFonts w:ascii="Arial" w:eastAsia="Times New Roman" w:hAnsi="Arial" w:cs="Arial"/>
          <w:lang w:eastAsia="it-IT"/>
        </w:rPr>
        <w:t>se</w:t>
      </w:r>
      <w:r w:rsidR="00C639F3" w:rsidRPr="00B83170">
        <w:rPr>
          <w:rFonts w:ascii="Arial" w:eastAsia="Times New Roman" w:hAnsi="Arial" w:cs="Arial"/>
          <w:lang w:eastAsia="it-IT"/>
        </w:rPr>
        <w:t>ppur</w:t>
      </w:r>
      <w:r w:rsidR="002A6BAE" w:rsidRPr="00B83170">
        <w:rPr>
          <w:rFonts w:ascii="Arial" w:eastAsia="Times New Roman" w:hAnsi="Arial" w:cs="Arial"/>
          <w:lang w:eastAsia="it-IT"/>
        </w:rPr>
        <w:t xml:space="preserve"> formalmente equipara gli attori presenti nell’arena economica, tende in realtà a privilegiare, </w:t>
      </w:r>
      <w:r w:rsidRPr="00B83170">
        <w:rPr>
          <w:rFonts w:ascii="Arial" w:eastAsia="Times New Roman" w:hAnsi="Arial" w:cs="Arial"/>
          <w:lang w:eastAsia="it-IT"/>
        </w:rPr>
        <w:t xml:space="preserve"> rafforzare</w:t>
      </w:r>
      <w:r w:rsidR="002A6BAE" w:rsidRPr="00B83170">
        <w:rPr>
          <w:rFonts w:ascii="Arial" w:eastAsia="Times New Roman" w:hAnsi="Arial" w:cs="Arial"/>
          <w:lang w:eastAsia="it-IT"/>
        </w:rPr>
        <w:t xml:space="preserve"> o comunque mantenere</w:t>
      </w:r>
      <w:r w:rsidRPr="00B83170">
        <w:rPr>
          <w:rFonts w:ascii="Arial" w:eastAsia="Times New Roman" w:hAnsi="Arial" w:cs="Arial"/>
          <w:lang w:eastAsia="it-IT"/>
        </w:rPr>
        <w:t xml:space="preserve"> la posizione di mercato dei c.d. </w:t>
      </w:r>
      <w:r w:rsidRPr="00B83170">
        <w:rPr>
          <w:rFonts w:ascii="Arial" w:eastAsia="Times New Roman" w:hAnsi="Arial" w:cs="Arial"/>
          <w:i/>
          <w:lang w:eastAsia="it-IT"/>
        </w:rPr>
        <w:t>incumbents</w:t>
      </w:r>
      <w:r w:rsidRPr="00B83170">
        <w:rPr>
          <w:rFonts w:ascii="Arial" w:eastAsia="Times New Roman" w:hAnsi="Arial" w:cs="Arial"/>
          <w:lang w:eastAsia="it-IT"/>
        </w:rPr>
        <w:t xml:space="preserve"> (ovverosia, gli ex monopolisti, o comunque i grandi gruppi industriali)</w:t>
      </w:r>
      <w:r w:rsidRPr="00B83170">
        <w:rPr>
          <w:rStyle w:val="Rimandonotaapidipagina"/>
          <w:rFonts w:ascii="Arial" w:eastAsia="Times New Roman" w:hAnsi="Arial" w:cs="Arial"/>
          <w:lang w:eastAsia="it-IT"/>
        </w:rPr>
        <w:footnoteReference w:id="13"/>
      </w:r>
      <w:r w:rsidRPr="00B83170">
        <w:rPr>
          <w:rFonts w:ascii="Arial" w:eastAsia="Times New Roman" w:hAnsi="Arial" w:cs="Arial"/>
          <w:lang w:eastAsia="it-IT"/>
        </w:rPr>
        <w:t xml:space="preserve">. </w:t>
      </w:r>
    </w:p>
    <w:p w:rsidR="00D06C11" w:rsidRPr="00B83170" w:rsidRDefault="00D06C11" w:rsidP="00B83170">
      <w:pPr>
        <w:spacing w:after="0" w:line="260" w:lineRule="exact"/>
        <w:ind w:firstLine="284"/>
        <w:jc w:val="both"/>
        <w:rPr>
          <w:rFonts w:ascii="Arial" w:eastAsia="Times New Roman" w:hAnsi="Arial" w:cs="Arial"/>
          <w:lang w:eastAsia="it-IT"/>
        </w:rPr>
      </w:pPr>
      <w:r w:rsidRPr="00B83170">
        <w:rPr>
          <w:rFonts w:ascii="Arial" w:eastAsia="Times New Roman" w:hAnsi="Arial" w:cs="Arial"/>
          <w:lang w:eastAsia="it-IT"/>
        </w:rPr>
        <w:t xml:space="preserve">La finalità di apertura effettiva </w:t>
      </w:r>
      <w:r w:rsidR="002A6BAE" w:rsidRPr="00B83170">
        <w:rPr>
          <w:rFonts w:ascii="Arial" w:eastAsia="Times New Roman" w:hAnsi="Arial" w:cs="Arial"/>
          <w:lang w:eastAsia="it-IT"/>
        </w:rPr>
        <w:t>del mercato necessita infatti dell’adozione di</w:t>
      </w:r>
      <w:r w:rsidRPr="00B83170">
        <w:rPr>
          <w:rFonts w:ascii="Arial" w:eastAsia="Times New Roman" w:hAnsi="Arial" w:cs="Arial"/>
          <w:lang w:eastAsia="it-IT"/>
        </w:rPr>
        <w:t xml:space="preserve"> misure asimmetriche in relazione a soggetti posti in posizione di condizionare le dinamiche del mercato in senso non concorrenziale</w:t>
      </w:r>
      <w:r w:rsidRPr="00B83170">
        <w:rPr>
          <w:rStyle w:val="Rimandonotaapidipagina"/>
          <w:rFonts w:ascii="Arial" w:eastAsia="Times New Roman" w:hAnsi="Arial" w:cs="Arial"/>
          <w:lang w:eastAsia="it-IT"/>
        </w:rPr>
        <w:footnoteReference w:id="14"/>
      </w:r>
      <w:r w:rsidRPr="00B83170">
        <w:rPr>
          <w:rFonts w:ascii="Arial" w:eastAsia="Times New Roman" w:hAnsi="Arial" w:cs="Arial"/>
          <w:lang w:eastAsia="it-IT"/>
        </w:rPr>
        <w:t>.</w:t>
      </w:r>
    </w:p>
    <w:p w:rsidR="002A6BAE" w:rsidRPr="00B83170" w:rsidRDefault="002A6BAE" w:rsidP="00B83170">
      <w:pPr>
        <w:spacing w:after="0" w:line="260" w:lineRule="exact"/>
        <w:ind w:firstLine="284"/>
        <w:jc w:val="both"/>
        <w:rPr>
          <w:rFonts w:ascii="Arial" w:eastAsia="Times New Roman" w:hAnsi="Arial" w:cs="Arial"/>
          <w:lang w:eastAsia="it-IT"/>
        </w:rPr>
      </w:pPr>
      <w:r w:rsidRPr="00B83170">
        <w:rPr>
          <w:rFonts w:ascii="Arial" w:eastAsia="Times New Roman" w:hAnsi="Arial" w:cs="Arial"/>
          <w:lang w:eastAsia="it-IT"/>
        </w:rPr>
        <w:t>Attraverso il principio di non discriminazione il G.A. decide in sostanza quali misure non aprono a sufficienza il mercato a scapito degli ex monopolisti e dunque in qualche modo giudica della visione dell’efficienza del mercato adottata dall’AEEGSI.</w:t>
      </w:r>
    </w:p>
    <w:p w:rsidR="00D06C11" w:rsidRPr="00B83170" w:rsidRDefault="00D06C11" w:rsidP="00B83170">
      <w:pPr>
        <w:spacing w:after="0" w:line="260" w:lineRule="exact"/>
        <w:ind w:firstLine="284"/>
        <w:jc w:val="both"/>
        <w:rPr>
          <w:rFonts w:ascii="Arial" w:eastAsia="Times New Roman" w:hAnsi="Arial" w:cs="Arial"/>
          <w:lang w:eastAsia="it-IT"/>
        </w:rPr>
      </w:pPr>
      <w:r w:rsidRPr="00B83170">
        <w:rPr>
          <w:rFonts w:ascii="Arial" w:eastAsia="Times New Roman" w:hAnsi="Arial" w:cs="Arial"/>
          <w:lang w:eastAsia="it-IT"/>
        </w:rPr>
        <w:t>Un’altra importante manifestazione del principio in parola si rinviene in relazione agli atti regolatori che incidono sulla posizione di imprese produttrici di energia da fonti rinnovabili.</w:t>
      </w:r>
    </w:p>
    <w:p w:rsidR="00D06C11" w:rsidRPr="00B83170" w:rsidRDefault="00D06C11" w:rsidP="00B83170">
      <w:pPr>
        <w:spacing w:after="0" w:line="260" w:lineRule="exact"/>
        <w:ind w:firstLine="284"/>
        <w:jc w:val="both"/>
        <w:rPr>
          <w:rFonts w:ascii="Arial" w:eastAsia="Times New Roman" w:hAnsi="Arial" w:cs="Arial"/>
          <w:lang w:eastAsia="it-IT"/>
        </w:rPr>
      </w:pPr>
      <w:r w:rsidRPr="00B83170">
        <w:rPr>
          <w:rFonts w:ascii="Arial" w:eastAsia="Times New Roman" w:hAnsi="Arial" w:cs="Arial"/>
          <w:lang w:eastAsia="it-IT"/>
        </w:rPr>
        <w:t>La violazione del principio di non discriminazione viene evidenziato in questo caso in relazione a interventi di regolazione dell’accesso alla rete che annullano o diminuiscono significativamente la portata degli incentivi previsti dalla normativa nazionale per le suddette fonti</w:t>
      </w:r>
      <w:r w:rsidRPr="00B83170">
        <w:rPr>
          <w:rStyle w:val="Rimandonotaapidipagina"/>
          <w:rFonts w:ascii="Arial" w:eastAsia="Times New Roman" w:hAnsi="Arial" w:cs="Arial"/>
          <w:lang w:eastAsia="it-IT"/>
        </w:rPr>
        <w:footnoteReference w:id="15"/>
      </w:r>
      <w:r w:rsidRPr="00B83170">
        <w:rPr>
          <w:rFonts w:ascii="Arial" w:eastAsia="Times New Roman" w:hAnsi="Arial" w:cs="Arial"/>
          <w:lang w:eastAsia="it-IT"/>
        </w:rPr>
        <w:t xml:space="preserve">. </w:t>
      </w:r>
    </w:p>
    <w:p w:rsidR="001962C5" w:rsidRPr="00B83170" w:rsidRDefault="00D06C11" w:rsidP="00B83170">
      <w:pPr>
        <w:spacing w:after="0" w:line="260" w:lineRule="exact"/>
        <w:ind w:firstLine="284"/>
        <w:jc w:val="both"/>
        <w:rPr>
          <w:rFonts w:ascii="Arial" w:eastAsia="Times New Roman" w:hAnsi="Arial" w:cs="Arial"/>
          <w:lang w:eastAsia="it-IT"/>
        </w:rPr>
      </w:pPr>
      <w:r w:rsidRPr="00B83170">
        <w:rPr>
          <w:rFonts w:ascii="Arial" w:eastAsia="Times New Roman" w:hAnsi="Arial" w:cs="Arial"/>
          <w:lang w:eastAsia="it-IT"/>
        </w:rPr>
        <w:lastRenderedPageBreak/>
        <w:t>Anche qui dunque l’operatività del principio in parola postula l’adozione di misure asimmetriche, ma in questo caso in ragione di particolari obiettivi politici stabiliti dal legislatore</w:t>
      </w:r>
      <w:r w:rsidR="00733413" w:rsidRPr="00B83170">
        <w:rPr>
          <w:rFonts w:ascii="Arial" w:eastAsia="Times New Roman" w:hAnsi="Arial" w:cs="Arial"/>
          <w:lang w:eastAsia="it-IT"/>
        </w:rPr>
        <w:t xml:space="preserve"> (ovvero la promozione della produzione di energia elettrica da fonti rinnovabili)</w:t>
      </w:r>
      <w:r w:rsidRPr="00B83170">
        <w:rPr>
          <w:rFonts w:ascii="Arial" w:eastAsia="Times New Roman" w:hAnsi="Arial" w:cs="Arial"/>
          <w:lang w:eastAsia="it-IT"/>
        </w:rPr>
        <w:t>.</w:t>
      </w:r>
    </w:p>
    <w:p w:rsidR="002A6BD1" w:rsidRPr="00B83170" w:rsidRDefault="002A6BD1" w:rsidP="00B83170">
      <w:pPr>
        <w:spacing w:after="0" w:line="260" w:lineRule="exact"/>
        <w:ind w:firstLine="284"/>
        <w:jc w:val="both"/>
        <w:rPr>
          <w:rFonts w:ascii="Arial" w:eastAsia="Times New Roman" w:hAnsi="Arial" w:cs="Arial"/>
          <w:lang w:eastAsia="it-IT"/>
        </w:rPr>
      </w:pPr>
      <w:r w:rsidRPr="00B83170">
        <w:rPr>
          <w:rFonts w:ascii="Arial" w:eastAsia="Times New Roman" w:hAnsi="Arial" w:cs="Arial"/>
          <w:lang w:eastAsia="it-IT"/>
        </w:rPr>
        <w:t>In questo caso l’invadenza del sindacato può considerarsi minore dal momento che la necessità dell’asimmetria nella regolazione discende direttamente da scelte politiche del legislatore e non è propriamente frutto di una valutazione del giudice.</w:t>
      </w:r>
    </w:p>
    <w:p w:rsidR="00D06C11" w:rsidRPr="00B83170" w:rsidRDefault="00D06C11" w:rsidP="00B83170">
      <w:pPr>
        <w:spacing w:after="0" w:line="260" w:lineRule="exact"/>
        <w:ind w:firstLine="284"/>
        <w:jc w:val="both"/>
        <w:rPr>
          <w:rFonts w:ascii="Arial" w:eastAsia="Times New Roman" w:hAnsi="Arial" w:cs="Arial"/>
          <w:lang w:eastAsia="it-IT"/>
        </w:rPr>
      </w:pPr>
      <w:r w:rsidRPr="00B83170">
        <w:rPr>
          <w:rFonts w:ascii="Arial" w:eastAsia="Times New Roman" w:hAnsi="Arial" w:cs="Arial"/>
          <w:lang w:eastAsia="it-IT"/>
        </w:rPr>
        <w:t>Oltre al principio di non discriminazione, un’altra categoria di vizio che risulta utilizzata per sindacare la scelta tecnica dell’Autorità è quella del principio di non retroattività della disciplina regolatoria</w:t>
      </w:r>
      <w:r w:rsidRPr="00B83170">
        <w:rPr>
          <w:rStyle w:val="Rimandonotaapidipagina"/>
          <w:rFonts w:ascii="Arial" w:eastAsia="Times New Roman" w:hAnsi="Arial" w:cs="Arial"/>
          <w:lang w:eastAsia="it-IT"/>
        </w:rPr>
        <w:footnoteReference w:id="16"/>
      </w:r>
      <w:r w:rsidRPr="00B83170">
        <w:rPr>
          <w:rFonts w:ascii="Arial" w:eastAsia="Times New Roman" w:hAnsi="Arial" w:cs="Arial"/>
          <w:lang w:eastAsia="it-IT"/>
        </w:rPr>
        <w:t>.</w:t>
      </w:r>
    </w:p>
    <w:p w:rsidR="00827E4B" w:rsidRPr="00B83170" w:rsidRDefault="00827E4B" w:rsidP="00B83170">
      <w:pPr>
        <w:spacing w:after="0" w:line="260" w:lineRule="exact"/>
        <w:ind w:firstLine="284"/>
        <w:jc w:val="both"/>
        <w:rPr>
          <w:rFonts w:ascii="Arial" w:eastAsia="Times New Roman" w:hAnsi="Arial" w:cs="Arial"/>
          <w:lang w:eastAsia="it-IT"/>
        </w:rPr>
      </w:pPr>
      <w:r w:rsidRPr="00B83170">
        <w:rPr>
          <w:rFonts w:ascii="Arial" w:eastAsia="Times New Roman" w:hAnsi="Arial" w:cs="Arial"/>
          <w:lang w:eastAsia="it-IT"/>
        </w:rPr>
        <w:t>Viene in particolare sancito che «</w:t>
      </w:r>
      <w:r w:rsidRPr="00B83170">
        <w:rPr>
          <w:rFonts w:ascii="Arial" w:eastAsia="Times New Roman" w:hAnsi="Arial" w:cs="Arial"/>
          <w:i/>
          <w:lang w:eastAsia="it-IT"/>
        </w:rPr>
        <w:t>l’estensione della disciplina contenuta nella deliberazione impugnata ha un’efficacia retroattiva che si pone in contrasto con la libertà di iniziata economica e con l’affidamento venutosi a creare in capo agli operatori, come la ricorrente</w:t>
      </w:r>
      <w:r w:rsidRPr="00B83170">
        <w:rPr>
          <w:rFonts w:ascii="Arial" w:eastAsia="Times New Roman" w:hAnsi="Arial" w:cs="Arial"/>
          <w:lang w:eastAsia="it-IT"/>
        </w:rPr>
        <w:t>».</w:t>
      </w:r>
    </w:p>
    <w:p w:rsidR="004837C1" w:rsidRPr="00B83170" w:rsidRDefault="00455392" w:rsidP="00B83170">
      <w:pPr>
        <w:spacing w:after="0" w:line="260" w:lineRule="exact"/>
        <w:ind w:firstLine="284"/>
        <w:jc w:val="both"/>
        <w:rPr>
          <w:rFonts w:ascii="Arial" w:eastAsia="Times New Roman" w:hAnsi="Arial" w:cs="Arial"/>
          <w:lang w:eastAsia="it-IT"/>
        </w:rPr>
      </w:pPr>
      <w:r w:rsidRPr="00B83170">
        <w:rPr>
          <w:rFonts w:ascii="Arial" w:eastAsia="Times New Roman" w:hAnsi="Arial" w:cs="Arial"/>
          <w:lang w:eastAsia="it-IT"/>
        </w:rPr>
        <w:t>La tutela del</w:t>
      </w:r>
      <w:r w:rsidR="004837C1" w:rsidRPr="00B83170">
        <w:rPr>
          <w:rFonts w:ascii="Arial" w:eastAsia="Times New Roman" w:hAnsi="Arial" w:cs="Arial"/>
          <w:lang w:eastAsia="it-IT"/>
        </w:rPr>
        <w:t xml:space="preserve"> le</w:t>
      </w:r>
      <w:r w:rsidRPr="00B83170">
        <w:rPr>
          <w:rFonts w:ascii="Arial" w:eastAsia="Times New Roman" w:hAnsi="Arial" w:cs="Arial"/>
          <w:lang w:eastAsia="it-IT"/>
        </w:rPr>
        <w:t xml:space="preserve">gittimo affidamento </w:t>
      </w:r>
      <w:r w:rsidR="002A6BD1" w:rsidRPr="00B83170">
        <w:rPr>
          <w:rFonts w:ascii="Arial" w:eastAsia="Times New Roman" w:hAnsi="Arial" w:cs="Arial"/>
          <w:lang w:eastAsia="it-IT"/>
        </w:rPr>
        <w:t xml:space="preserve">dei regolati è </w:t>
      </w:r>
      <w:r w:rsidR="00827E4B" w:rsidRPr="00B83170">
        <w:rPr>
          <w:rFonts w:ascii="Arial" w:eastAsia="Times New Roman" w:hAnsi="Arial" w:cs="Arial"/>
          <w:lang w:eastAsia="it-IT"/>
        </w:rPr>
        <w:t xml:space="preserve">del resto </w:t>
      </w:r>
      <w:r w:rsidR="002A6BD1" w:rsidRPr="00B83170">
        <w:rPr>
          <w:rFonts w:ascii="Arial" w:eastAsia="Times New Roman" w:hAnsi="Arial" w:cs="Arial"/>
          <w:lang w:eastAsia="it-IT"/>
        </w:rPr>
        <w:t>in linea con il canone di efficienza del mercato</w:t>
      </w:r>
      <w:r w:rsidRPr="00B83170">
        <w:rPr>
          <w:rFonts w:ascii="Arial" w:eastAsia="Times New Roman" w:hAnsi="Arial" w:cs="Arial"/>
          <w:lang w:eastAsia="it-IT"/>
        </w:rPr>
        <w:t xml:space="preserve">, dal momento che la certezza e stabilità delle regole </w:t>
      </w:r>
      <w:r w:rsidR="002A6BD1" w:rsidRPr="00B83170">
        <w:rPr>
          <w:rFonts w:ascii="Arial" w:eastAsia="Times New Roman" w:hAnsi="Arial" w:cs="Arial"/>
          <w:lang w:eastAsia="it-IT"/>
        </w:rPr>
        <w:t>costituiscono presupposti</w:t>
      </w:r>
      <w:r w:rsidR="000E11C8" w:rsidRPr="00B83170">
        <w:rPr>
          <w:rFonts w:ascii="Arial" w:eastAsia="Times New Roman" w:hAnsi="Arial" w:cs="Arial"/>
          <w:lang w:eastAsia="it-IT"/>
        </w:rPr>
        <w:t xml:space="preserve"> fondamentali</w:t>
      </w:r>
      <w:r w:rsidRPr="00B83170">
        <w:rPr>
          <w:rFonts w:ascii="Arial" w:eastAsia="Times New Roman" w:hAnsi="Arial" w:cs="Arial"/>
          <w:lang w:eastAsia="it-IT"/>
        </w:rPr>
        <w:t xml:space="preserve"> per il buon funzionamento del</w:t>
      </w:r>
      <w:r w:rsidR="00BC066F" w:rsidRPr="00B83170">
        <w:rPr>
          <w:rFonts w:ascii="Arial" w:eastAsia="Times New Roman" w:hAnsi="Arial" w:cs="Arial"/>
          <w:lang w:eastAsia="it-IT"/>
        </w:rPr>
        <w:t>lo stesso</w:t>
      </w:r>
      <w:r w:rsidRPr="00B83170">
        <w:rPr>
          <w:rFonts w:ascii="Arial" w:eastAsia="Times New Roman" w:hAnsi="Arial" w:cs="Arial"/>
          <w:lang w:eastAsia="it-IT"/>
        </w:rPr>
        <w:t>.</w:t>
      </w:r>
      <w:r w:rsidR="002A6BD1" w:rsidRPr="00B83170">
        <w:rPr>
          <w:rFonts w:ascii="Arial" w:eastAsia="Times New Roman" w:hAnsi="Arial" w:cs="Arial"/>
          <w:lang w:eastAsia="it-IT"/>
        </w:rPr>
        <w:t xml:space="preserve"> </w:t>
      </w:r>
    </w:p>
    <w:p w:rsidR="002A6BD1" w:rsidRPr="00B83170" w:rsidRDefault="00BC066F" w:rsidP="00B83170">
      <w:pPr>
        <w:spacing w:after="0" w:line="260" w:lineRule="exact"/>
        <w:ind w:firstLine="284"/>
        <w:jc w:val="both"/>
        <w:rPr>
          <w:rFonts w:ascii="Arial" w:eastAsia="Times New Roman" w:hAnsi="Arial" w:cs="Arial"/>
          <w:lang w:eastAsia="it-IT"/>
        </w:rPr>
      </w:pPr>
      <w:r w:rsidRPr="00B83170">
        <w:rPr>
          <w:rFonts w:ascii="Arial" w:eastAsia="Times New Roman" w:hAnsi="Arial" w:cs="Arial"/>
          <w:lang w:eastAsia="it-IT"/>
        </w:rPr>
        <w:t>Un’</w:t>
      </w:r>
      <w:r w:rsidR="00D06C11" w:rsidRPr="00B83170">
        <w:rPr>
          <w:rFonts w:ascii="Arial" w:eastAsia="Times New Roman" w:hAnsi="Arial" w:cs="Arial"/>
          <w:lang w:eastAsia="it-IT"/>
        </w:rPr>
        <w:t>ultima declinazione che si rileva assumere il concetto di irragionevolezza tecnica nella giurisprudenza è infine la violazione del principio di proporzionalità;</w:t>
      </w:r>
      <w:r w:rsidR="002A6BD1" w:rsidRPr="00B83170">
        <w:rPr>
          <w:rFonts w:ascii="Arial" w:eastAsia="Times New Roman" w:hAnsi="Arial" w:cs="Arial"/>
          <w:lang w:eastAsia="it-IT"/>
        </w:rPr>
        <w:t xml:space="preserve"> </w:t>
      </w:r>
      <w:r w:rsidR="000F664A" w:rsidRPr="00B83170">
        <w:rPr>
          <w:rFonts w:ascii="Arial" w:eastAsia="Times New Roman" w:hAnsi="Arial" w:cs="Arial"/>
          <w:lang w:eastAsia="it-IT"/>
        </w:rPr>
        <w:t>tale censura potrebbe costituire uno strumento molto penetrante per il sindacato della scelta regolatoria.</w:t>
      </w:r>
    </w:p>
    <w:p w:rsidR="00AA1D19" w:rsidRPr="00934185" w:rsidRDefault="000F664A" w:rsidP="00934185">
      <w:pPr>
        <w:spacing w:after="0" w:line="260" w:lineRule="exact"/>
        <w:ind w:firstLine="284"/>
        <w:jc w:val="both"/>
        <w:rPr>
          <w:rFonts w:ascii="Arial" w:eastAsia="Times New Roman" w:hAnsi="Arial" w:cs="Arial"/>
          <w:lang w:eastAsia="it-IT"/>
        </w:rPr>
      </w:pPr>
      <w:r w:rsidRPr="00B83170">
        <w:rPr>
          <w:rFonts w:ascii="Arial" w:eastAsia="Times New Roman" w:hAnsi="Arial" w:cs="Arial"/>
          <w:lang w:eastAsia="it-IT"/>
        </w:rPr>
        <w:t xml:space="preserve">Tuttavia il giudicante nel recente caso in cui ne ha fatto utilizzo mostra di </w:t>
      </w:r>
      <w:r w:rsidR="00A12E1D" w:rsidRPr="00B83170">
        <w:rPr>
          <w:rFonts w:ascii="Arial" w:eastAsia="Times New Roman" w:hAnsi="Arial" w:cs="Arial"/>
          <w:lang w:eastAsia="it-IT"/>
        </w:rPr>
        <w:t>impiegare</w:t>
      </w:r>
      <w:r w:rsidRPr="00B83170">
        <w:rPr>
          <w:rFonts w:ascii="Arial" w:eastAsia="Times New Roman" w:hAnsi="Arial" w:cs="Arial"/>
          <w:lang w:eastAsia="it-IT"/>
        </w:rPr>
        <w:t xml:space="preserve"> il principio in una accezione di manifesta sproporzione</w:t>
      </w:r>
      <w:r w:rsidR="002B6D07" w:rsidRPr="00B83170">
        <w:rPr>
          <w:rFonts w:ascii="Arial" w:eastAsia="Times New Roman" w:hAnsi="Arial" w:cs="Arial"/>
          <w:lang w:eastAsia="it-IT"/>
        </w:rPr>
        <w:t xml:space="preserve"> rispetto all’obiettivo perseguito</w:t>
      </w:r>
      <w:r w:rsidR="00D06C11" w:rsidRPr="00B83170">
        <w:rPr>
          <w:rStyle w:val="Rimandonotaapidipagina"/>
          <w:rFonts w:ascii="Arial" w:eastAsia="Times New Roman" w:hAnsi="Arial" w:cs="Arial"/>
          <w:lang w:eastAsia="it-IT"/>
        </w:rPr>
        <w:footnoteReference w:id="17"/>
      </w:r>
      <w:r w:rsidR="002B6D07" w:rsidRPr="00B83170">
        <w:rPr>
          <w:rFonts w:ascii="Arial" w:eastAsia="Times New Roman" w:hAnsi="Arial" w:cs="Arial"/>
          <w:lang w:eastAsia="it-IT"/>
        </w:rPr>
        <w:t>.</w:t>
      </w:r>
      <w:r w:rsidR="002226FA" w:rsidRPr="00B83170">
        <w:rPr>
          <w:rFonts w:ascii="Arial" w:eastAsia="Times New Roman" w:hAnsi="Arial" w:cs="Arial"/>
          <w:lang w:eastAsia="it-IT"/>
        </w:rPr>
        <w:t xml:space="preserve"> </w:t>
      </w:r>
    </w:p>
    <w:p w:rsidR="0030660B" w:rsidRPr="004C214D" w:rsidRDefault="004C214D" w:rsidP="004C214D">
      <w:pPr>
        <w:pStyle w:val="Paragrafoelenco"/>
        <w:numPr>
          <w:ilvl w:val="0"/>
          <w:numId w:val="3"/>
        </w:numPr>
        <w:spacing w:before="640" w:after="384" w:line="290" w:lineRule="exact"/>
        <w:ind w:left="-40" w:hanging="357"/>
        <w:jc w:val="both"/>
        <w:rPr>
          <w:rFonts w:ascii="Arial" w:eastAsia="Times New Roman" w:hAnsi="Arial"/>
          <w:b/>
          <w:color w:val="974726"/>
          <w:sz w:val="25"/>
          <w:szCs w:val="20"/>
          <w:lang w:eastAsia="it-IT"/>
        </w:rPr>
      </w:pPr>
      <w:r>
        <w:rPr>
          <w:rFonts w:ascii="Arial" w:eastAsia="Times New Roman" w:hAnsi="Arial"/>
          <w:b/>
          <w:color w:val="974726"/>
          <w:sz w:val="25"/>
          <w:szCs w:val="20"/>
          <w:lang w:eastAsia="it-IT"/>
        </w:rPr>
        <w:t>L’accesso al fatto</w:t>
      </w:r>
    </w:p>
    <w:p w:rsidR="00591898" w:rsidRPr="00B83170" w:rsidRDefault="00827E4B" w:rsidP="00B83170">
      <w:pPr>
        <w:spacing w:after="0" w:line="260" w:lineRule="exact"/>
        <w:ind w:firstLine="284"/>
        <w:jc w:val="both"/>
        <w:rPr>
          <w:rFonts w:ascii="Arial" w:hAnsi="Arial" w:cs="Arial"/>
        </w:rPr>
      </w:pPr>
      <w:r w:rsidRPr="00B83170">
        <w:rPr>
          <w:rFonts w:ascii="Arial" w:hAnsi="Arial" w:cs="Arial"/>
        </w:rPr>
        <w:t>L’</w:t>
      </w:r>
      <w:r w:rsidR="00A17A63" w:rsidRPr="00B83170">
        <w:rPr>
          <w:rFonts w:ascii="Arial" w:hAnsi="Arial" w:cs="Arial"/>
        </w:rPr>
        <w:t xml:space="preserve">esame della giurisprudenza </w:t>
      </w:r>
      <w:r w:rsidRPr="00B83170">
        <w:rPr>
          <w:rFonts w:ascii="Arial" w:hAnsi="Arial" w:cs="Arial"/>
        </w:rPr>
        <w:t xml:space="preserve">consente di cogliere </w:t>
      </w:r>
      <w:r w:rsidR="00A17A63" w:rsidRPr="00B83170">
        <w:rPr>
          <w:rFonts w:ascii="Arial" w:hAnsi="Arial" w:cs="Arial"/>
        </w:rPr>
        <w:t>altresì una certa</w:t>
      </w:r>
      <w:r w:rsidR="00176C32" w:rsidRPr="00B83170">
        <w:rPr>
          <w:rFonts w:ascii="Arial" w:hAnsi="Arial" w:cs="Arial"/>
        </w:rPr>
        <w:t xml:space="preserve"> ritrosia del G.A. a </w:t>
      </w:r>
      <w:r w:rsidR="00EB0428" w:rsidRPr="00B83170">
        <w:rPr>
          <w:rFonts w:ascii="Arial" w:hAnsi="Arial" w:cs="Arial"/>
        </w:rPr>
        <w:t>procedere ad una verifica diretta</w:t>
      </w:r>
      <w:r w:rsidR="00176C32" w:rsidRPr="00B83170">
        <w:rPr>
          <w:rFonts w:ascii="Arial" w:hAnsi="Arial" w:cs="Arial"/>
        </w:rPr>
        <w:t xml:space="preserve"> </w:t>
      </w:r>
      <w:r w:rsidR="00EB0428" w:rsidRPr="00B83170">
        <w:rPr>
          <w:rFonts w:ascii="Arial" w:hAnsi="Arial" w:cs="Arial"/>
        </w:rPr>
        <w:t>de</w:t>
      </w:r>
      <w:r w:rsidR="00176C32" w:rsidRPr="00B83170">
        <w:rPr>
          <w:rFonts w:ascii="Arial" w:hAnsi="Arial" w:cs="Arial"/>
        </w:rPr>
        <w:t>i fatti posti a fondamento della detta scelta</w:t>
      </w:r>
      <w:r w:rsidR="00EB0428" w:rsidRPr="00B83170">
        <w:rPr>
          <w:rFonts w:ascii="Arial" w:hAnsi="Arial" w:cs="Arial"/>
        </w:rPr>
        <w:t xml:space="preserve"> regolatoria</w:t>
      </w:r>
      <w:r w:rsidR="00A17A63" w:rsidRPr="00B83170">
        <w:rPr>
          <w:rFonts w:ascii="Arial" w:hAnsi="Arial" w:cs="Arial"/>
        </w:rPr>
        <w:t xml:space="preserve"> dell’AEEGSI</w:t>
      </w:r>
      <w:r w:rsidR="00176C32" w:rsidRPr="00B83170">
        <w:rPr>
          <w:rFonts w:ascii="Arial" w:hAnsi="Arial" w:cs="Arial"/>
        </w:rPr>
        <w:t>.</w:t>
      </w:r>
    </w:p>
    <w:p w:rsidR="003F05F0" w:rsidRPr="00B83170" w:rsidRDefault="003F05F0" w:rsidP="00B83170">
      <w:pPr>
        <w:spacing w:after="0" w:line="260" w:lineRule="exact"/>
        <w:ind w:firstLine="284"/>
        <w:jc w:val="both"/>
        <w:rPr>
          <w:rFonts w:ascii="Arial" w:hAnsi="Arial" w:cs="Arial"/>
        </w:rPr>
      </w:pPr>
      <w:r w:rsidRPr="00B83170">
        <w:rPr>
          <w:rFonts w:ascii="Arial" w:hAnsi="Arial" w:cs="Arial"/>
        </w:rPr>
        <w:t xml:space="preserve">Questo atteggiamento si ricava </w:t>
      </w:r>
      <w:r w:rsidR="00A17A63" w:rsidRPr="00B83170">
        <w:rPr>
          <w:rFonts w:ascii="Arial" w:hAnsi="Arial" w:cs="Arial"/>
        </w:rPr>
        <w:t xml:space="preserve">ad esempio </w:t>
      </w:r>
      <w:r w:rsidRPr="00B83170">
        <w:rPr>
          <w:rFonts w:ascii="Arial" w:hAnsi="Arial" w:cs="Arial"/>
        </w:rPr>
        <w:t xml:space="preserve">nella già citata </w:t>
      </w:r>
      <w:r w:rsidR="001D4AEA">
        <w:rPr>
          <w:rFonts w:ascii="Arial" w:hAnsi="Arial" w:cs="Arial"/>
        </w:rPr>
        <w:t xml:space="preserve">sentenza del </w:t>
      </w:r>
      <w:r w:rsidR="00D26FDD">
        <w:rPr>
          <w:rFonts w:ascii="Arial" w:eastAsia="Times New Roman" w:hAnsi="Arial" w:cs="Arial"/>
          <w:lang w:eastAsia="it-IT"/>
        </w:rPr>
        <w:t>TAR</w:t>
      </w:r>
      <w:r w:rsidRPr="00B83170">
        <w:rPr>
          <w:rFonts w:ascii="Arial" w:eastAsia="Times New Roman" w:hAnsi="Arial" w:cs="Arial"/>
          <w:lang w:eastAsia="it-IT"/>
        </w:rPr>
        <w:t xml:space="preserve"> Lo</w:t>
      </w:r>
      <w:r w:rsidR="003377F5">
        <w:rPr>
          <w:rFonts w:ascii="Arial" w:eastAsia="Times New Roman" w:hAnsi="Arial" w:cs="Arial"/>
          <w:lang w:eastAsia="it-IT"/>
        </w:rPr>
        <w:t xml:space="preserve">mbardia, Milano, III, 24 gennaio </w:t>
      </w:r>
      <w:r w:rsidRPr="00B83170">
        <w:rPr>
          <w:rFonts w:ascii="Arial" w:eastAsia="Times New Roman" w:hAnsi="Arial" w:cs="Arial"/>
          <w:lang w:eastAsia="it-IT"/>
        </w:rPr>
        <w:t>2014, n. 265</w:t>
      </w:r>
      <w:r w:rsidR="007E7506" w:rsidRPr="00B83170">
        <w:rPr>
          <w:rFonts w:ascii="Arial" w:eastAsia="Times New Roman" w:hAnsi="Arial" w:cs="Arial"/>
          <w:lang w:eastAsia="it-IT"/>
        </w:rPr>
        <w:t>.</w:t>
      </w:r>
    </w:p>
    <w:p w:rsidR="007E7506" w:rsidRPr="00B83170" w:rsidRDefault="003F05F0" w:rsidP="00B83170">
      <w:pPr>
        <w:spacing w:after="0" w:line="260" w:lineRule="exact"/>
        <w:ind w:firstLine="284"/>
        <w:jc w:val="both"/>
        <w:rPr>
          <w:rFonts w:ascii="Arial" w:eastAsia="Times New Roman" w:hAnsi="Arial" w:cs="Arial"/>
          <w:color w:val="000000"/>
          <w:lang w:eastAsia="it-IT"/>
        </w:rPr>
      </w:pPr>
      <w:r w:rsidRPr="00B83170">
        <w:rPr>
          <w:rFonts w:ascii="Arial" w:eastAsia="Times New Roman" w:hAnsi="Arial" w:cs="Arial"/>
          <w:lang w:eastAsia="it-IT"/>
        </w:rPr>
        <w:t>In particolare in tale controversia l’AEEGSI</w:t>
      </w:r>
      <w:r w:rsidR="006049B7" w:rsidRPr="00B83170">
        <w:rPr>
          <w:rFonts w:ascii="Arial" w:eastAsia="Times New Roman" w:hAnsi="Arial" w:cs="Arial"/>
          <w:lang w:eastAsia="it-IT"/>
        </w:rPr>
        <w:t>,</w:t>
      </w:r>
      <w:r w:rsidRPr="00B83170">
        <w:rPr>
          <w:rFonts w:ascii="Arial" w:eastAsia="Times New Roman" w:hAnsi="Arial" w:cs="Arial"/>
          <w:lang w:eastAsia="it-IT"/>
        </w:rPr>
        <w:t xml:space="preserve"> </w:t>
      </w:r>
      <w:r w:rsidR="007E7506" w:rsidRPr="00B83170">
        <w:rPr>
          <w:rFonts w:ascii="Arial" w:eastAsia="Times New Roman" w:hAnsi="Arial" w:cs="Arial"/>
          <w:lang w:eastAsia="it-IT"/>
        </w:rPr>
        <w:t xml:space="preserve">nell’esercizio del potere di determinare i parametri della tariffa </w:t>
      </w:r>
      <w:r w:rsidR="007E7506" w:rsidRPr="00B83170">
        <w:rPr>
          <w:rFonts w:ascii="Arial" w:eastAsia="Times New Roman" w:hAnsi="Arial" w:cs="Arial"/>
          <w:color w:val="000000"/>
          <w:lang w:eastAsia="it-IT"/>
        </w:rPr>
        <w:t>di vendita del gas da applicare da parte degli operatori del settore ai clienti finali facenti parte del servizio di tutela</w:t>
      </w:r>
      <w:r w:rsidR="007E7506" w:rsidRPr="00B83170">
        <w:rPr>
          <w:rStyle w:val="Rimandonotaapidipagina"/>
          <w:rFonts w:ascii="Arial" w:eastAsia="Times New Roman" w:hAnsi="Arial" w:cs="Arial"/>
          <w:color w:val="000000"/>
          <w:lang w:eastAsia="it-IT"/>
        </w:rPr>
        <w:footnoteReference w:id="18"/>
      </w:r>
      <w:r w:rsidR="007E7506" w:rsidRPr="00B83170">
        <w:rPr>
          <w:rFonts w:ascii="Arial" w:eastAsia="Times New Roman" w:hAnsi="Arial" w:cs="Arial"/>
          <w:color w:val="000000"/>
          <w:lang w:eastAsia="it-IT"/>
        </w:rPr>
        <w:t xml:space="preserve">, aveva </w:t>
      </w:r>
      <w:r w:rsidR="007E7506" w:rsidRPr="00B83170">
        <w:rPr>
          <w:rFonts w:ascii="Arial" w:eastAsia="Times New Roman" w:hAnsi="Arial" w:cs="Arial"/>
          <w:color w:val="000000"/>
          <w:lang w:eastAsia="it-IT"/>
        </w:rPr>
        <w:lastRenderedPageBreak/>
        <w:t>diminuito un coefficiente corrispondente ai costi di approvvigionamento nel mercato all’ingrosso dei suddetti operatori.</w:t>
      </w:r>
    </w:p>
    <w:p w:rsidR="003F05F0" w:rsidRPr="00B83170" w:rsidRDefault="00C462FE" w:rsidP="00B83170">
      <w:pPr>
        <w:spacing w:after="0" w:line="260" w:lineRule="exact"/>
        <w:ind w:firstLine="284"/>
        <w:jc w:val="both"/>
        <w:rPr>
          <w:rFonts w:ascii="Arial" w:eastAsia="Times New Roman" w:hAnsi="Arial" w:cs="Arial"/>
          <w:color w:val="000000"/>
          <w:lang w:eastAsia="it-IT"/>
        </w:rPr>
      </w:pPr>
      <w:r w:rsidRPr="00B83170">
        <w:rPr>
          <w:rFonts w:ascii="Arial" w:eastAsia="Times New Roman" w:hAnsi="Arial" w:cs="Arial"/>
          <w:color w:val="000000"/>
          <w:lang w:eastAsia="it-IT"/>
        </w:rPr>
        <w:t>Nello specifico,</w:t>
      </w:r>
      <w:r w:rsidR="007E7506" w:rsidRPr="00B83170">
        <w:rPr>
          <w:rFonts w:ascii="Arial" w:eastAsia="Times New Roman" w:hAnsi="Arial" w:cs="Arial"/>
          <w:color w:val="000000"/>
          <w:lang w:eastAsia="it-IT"/>
        </w:rPr>
        <w:t xml:space="preserve"> </w:t>
      </w:r>
      <w:r w:rsidR="003F05F0" w:rsidRPr="00B83170">
        <w:rPr>
          <w:rFonts w:ascii="Arial" w:eastAsia="Times New Roman" w:hAnsi="Arial" w:cs="Arial"/>
          <w:color w:val="000000"/>
          <w:lang w:eastAsia="it-IT"/>
        </w:rPr>
        <w:t>dall’istruttoria compiuta</w:t>
      </w:r>
      <w:r w:rsidR="007E7506" w:rsidRPr="00B83170">
        <w:rPr>
          <w:rFonts w:ascii="Arial" w:eastAsia="Times New Roman" w:hAnsi="Arial" w:cs="Arial"/>
          <w:color w:val="000000"/>
          <w:lang w:eastAsia="it-IT"/>
        </w:rPr>
        <w:t xml:space="preserve"> dall’Autorità</w:t>
      </w:r>
      <w:r w:rsidR="003F05F0" w:rsidRPr="00B83170">
        <w:rPr>
          <w:rFonts w:ascii="Arial" w:hAnsi="Arial" w:cs="Arial"/>
        </w:rPr>
        <w:t xml:space="preserve"> (attraverso la richiesta di informazioni a 18 operatori che approvvigionano il 90% delle forniture di gas destinate al servizio di tutela) </w:t>
      </w:r>
      <w:r w:rsidR="003F05F0" w:rsidRPr="00B83170">
        <w:rPr>
          <w:rFonts w:ascii="Arial" w:eastAsia="Times New Roman" w:hAnsi="Arial" w:cs="Arial"/>
          <w:color w:val="000000"/>
          <w:lang w:eastAsia="it-IT"/>
        </w:rPr>
        <w:t xml:space="preserve"> risulta</w:t>
      </w:r>
      <w:r w:rsidR="007E7506" w:rsidRPr="00B83170">
        <w:rPr>
          <w:rFonts w:ascii="Arial" w:eastAsia="Times New Roman" w:hAnsi="Arial" w:cs="Arial"/>
          <w:color w:val="000000"/>
          <w:lang w:eastAsia="it-IT"/>
        </w:rPr>
        <w:t>va</w:t>
      </w:r>
      <w:r w:rsidR="003F05F0" w:rsidRPr="00B83170">
        <w:rPr>
          <w:rFonts w:ascii="Arial" w:eastAsia="Times New Roman" w:hAnsi="Arial" w:cs="Arial"/>
          <w:color w:val="000000"/>
          <w:lang w:eastAsia="it-IT"/>
        </w:rPr>
        <w:t xml:space="preserve"> che gli esercenti la vendita per il servizio di tutela </w:t>
      </w:r>
      <w:r w:rsidR="007E7506" w:rsidRPr="00B83170">
        <w:rPr>
          <w:rFonts w:ascii="Arial" w:eastAsia="Times New Roman" w:hAnsi="Arial" w:cs="Arial"/>
          <w:color w:val="000000"/>
          <w:lang w:eastAsia="it-IT"/>
        </w:rPr>
        <w:t xml:space="preserve">erano in grado di approvvigionarsi </w:t>
      </w:r>
      <w:r w:rsidR="003F05F0" w:rsidRPr="00B83170">
        <w:rPr>
          <w:rFonts w:ascii="Arial" w:eastAsia="Times New Roman" w:hAnsi="Arial" w:cs="Arial"/>
          <w:color w:val="000000"/>
          <w:lang w:eastAsia="it-IT"/>
        </w:rPr>
        <w:t>a condizioni economiche anche sensibilmente inferiori a quelle di cui alla componente relativa alla c</w:t>
      </w:r>
      <w:r w:rsidR="007E7506" w:rsidRPr="00B83170">
        <w:rPr>
          <w:rFonts w:ascii="Arial" w:eastAsia="Times New Roman" w:hAnsi="Arial" w:cs="Arial"/>
          <w:color w:val="000000"/>
          <w:lang w:eastAsia="it-IT"/>
        </w:rPr>
        <w:t>ommercializzazione all'ingrosso</w:t>
      </w:r>
      <w:r w:rsidR="003F05F0" w:rsidRPr="00B83170">
        <w:rPr>
          <w:rFonts w:ascii="Arial" w:eastAsia="Times New Roman" w:hAnsi="Arial" w:cs="Arial"/>
          <w:color w:val="000000"/>
          <w:lang w:eastAsia="it-IT"/>
        </w:rPr>
        <w:t>.</w:t>
      </w:r>
    </w:p>
    <w:p w:rsidR="003F05F0" w:rsidRPr="00B83170" w:rsidRDefault="00C462FE" w:rsidP="00B83170">
      <w:pPr>
        <w:spacing w:after="0" w:line="260" w:lineRule="exact"/>
        <w:ind w:firstLine="284"/>
        <w:jc w:val="both"/>
        <w:rPr>
          <w:rFonts w:ascii="Arial" w:eastAsia="Times New Roman" w:hAnsi="Arial" w:cs="Arial"/>
          <w:color w:val="000000"/>
          <w:lang w:eastAsia="it-IT"/>
        </w:rPr>
      </w:pPr>
      <w:r w:rsidRPr="00B83170">
        <w:rPr>
          <w:rFonts w:ascii="Arial" w:eastAsia="Times New Roman" w:hAnsi="Arial" w:cs="Arial"/>
          <w:color w:val="000000"/>
          <w:lang w:eastAsia="it-IT"/>
        </w:rPr>
        <w:t xml:space="preserve">Ciò posto, </w:t>
      </w:r>
      <w:r w:rsidR="006049B7" w:rsidRPr="00B83170">
        <w:rPr>
          <w:rFonts w:ascii="Arial" w:eastAsia="Times New Roman" w:hAnsi="Arial" w:cs="Arial"/>
          <w:color w:val="000000"/>
          <w:lang w:eastAsia="it-IT"/>
        </w:rPr>
        <w:t>i</w:t>
      </w:r>
      <w:r w:rsidR="003F05F0" w:rsidRPr="00B83170">
        <w:rPr>
          <w:rFonts w:ascii="Arial" w:eastAsia="Times New Roman" w:hAnsi="Arial" w:cs="Arial"/>
          <w:color w:val="000000"/>
          <w:lang w:eastAsia="it-IT"/>
        </w:rPr>
        <w:t xml:space="preserve">l </w:t>
      </w:r>
      <w:r w:rsidR="00D26FDD">
        <w:rPr>
          <w:rFonts w:ascii="Arial" w:eastAsia="Times New Roman" w:hAnsi="Arial" w:cs="Arial"/>
          <w:color w:val="000000"/>
          <w:lang w:eastAsia="it-IT"/>
        </w:rPr>
        <w:t>TAR</w:t>
      </w:r>
      <w:r w:rsidR="003F05F0" w:rsidRPr="00B83170">
        <w:rPr>
          <w:rFonts w:ascii="Arial" w:eastAsia="Times New Roman" w:hAnsi="Arial" w:cs="Arial"/>
          <w:color w:val="000000"/>
          <w:lang w:eastAsia="it-IT"/>
        </w:rPr>
        <w:t xml:space="preserve"> </w:t>
      </w:r>
      <w:r w:rsidR="002B6D07" w:rsidRPr="00B83170">
        <w:rPr>
          <w:rFonts w:ascii="Arial" w:eastAsia="Times New Roman" w:hAnsi="Arial" w:cs="Arial"/>
          <w:color w:val="000000"/>
          <w:lang w:eastAsia="it-IT"/>
        </w:rPr>
        <w:t>ha ritenuto</w:t>
      </w:r>
      <w:r w:rsidR="003F05F0" w:rsidRPr="00B83170">
        <w:rPr>
          <w:rFonts w:ascii="Arial" w:eastAsia="Times New Roman" w:hAnsi="Arial" w:cs="Arial"/>
          <w:color w:val="000000"/>
          <w:lang w:eastAsia="it-IT"/>
        </w:rPr>
        <w:t xml:space="preserve"> che l’azione dell’Autorità </w:t>
      </w:r>
      <w:r w:rsidR="007E7506" w:rsidRPr="00B83170">
        <w:rPr>
          <w:rFonts w:ascii="Arial" w:eastAsia="Times New Roman" w:hAnsi="Arial" w:cs="Arial"/>
          <w:color w:val="000000"/>
          <w:lang w:eastAsia="it-IT"/>
        </w:rPr>
        <w:t>fosse</w:t>
      </w:r>
      <w:r w:rsidR="003F05F0" w:rsidRPr="00B83170">
        <w:rPr>
          <w:rFonts w:ascii="Arial" w:eastAsia="Times New Roman" w:hAnsi="Arial" w:cs="Arial"/>
          <w:color w:val="000000"/>
          <w:lang w:eastAsia="it-IT"/>
        </w:rPr>
        <w:t xml:space="preserve"> in contrasto con l’art. 1 della l</w:t>
      </w:r>
      <w:r w:rsidR="00CC6CE3">
        <w:rPr>
          <w:rFonts w:ascii="Arial" w:eastAsia="Times New Roman" w:hAnsi="Arial" w:cs="Arial"/>
          <w:color w:val="000000"/>
          <w:lang w:eastAsia="it-IT"/>
        </w:rPr>
        <w:t>.</w:t>
      </w:r>
      <w:r w:rsidR="003F05F0" w:rsidRPr="00B83170">
        <w:rPr>
          <w:rFonts w:ascii="Arial" w:eastAsia="Times New Roman" w:hAnsi="Arial" w:cs="Arial"/>
          <w:color w:val="000000"/>
          <w:lang w:eastAsia="it-IT"/>
        </w:rPr>
        <w:t xml:space="preserve"> </w:t>
      </w:r>
      <w:r w:rsidR="00CC6CE3">
        <w:rPr>
          <w:rFonts w:ascii="Arial" w:eastAsia="Times New Roman" w:hAnsi="Arial" w:cs="Arial"/>
          <w:color w:val="000000"/>
          <w:lang w:eastAsia="it-IT"/>
        </w:rPr>
        <w:t>n. 481/</w:t>
      </w:r>
      <w:r w:rsidR="003F05F0" w:rsidRPr="00B83170">
        <w:rPr>
          <w:rFonts w:ascii="Arial" w:eastAsia="Times New Roman" w:hAnsi="Arial" w:cs="Arial"/>
          <w:color w:val="000000"/>
          <w:lang w:eastAsia="it-IT"/>
        </w:rPr>
        <w:t xml:space="preserve">1995, </w:t>
      </w:r>
      <w:r w:rsidR="007E7506" w:rsidRPr="00B83170">
        <w:rPr>
          <w:rFonts w:ascii="Arial" w:eastAsia="Times New Roman" w:hAnsi="Arial" w:cs="Arial"/>
          <w:color w:val="000000"/>
          <w:lang w:eastAsia="it-IT"/>
        </w:rPr>
        <w:t>nella parte in cui</w:t>
      </w:r>
      <w:r w:rsidR="003F05F0" w:rsidRPr="00B83170">
        <w:rPr>
          <w:rFonts w:ascii="Arial" w:eastAsia="Times New Roman" w:hAnsi="Arial" w:cs="Arial"/>
          <w:color w:val="000000"/>
          <w:lang w:eastAsia="it-IT"/>
        </w:rPr>
        <w:t xml:space="preserve"> prescrive all’Autorità di garantire la promozione della concorrenza e dell'efficienza nel settore di riferimento nel rispetto delle “condizioni di economicità e d</w:t>
      </w:r>
      <w:r w:rsidR="007E7506" w:rsidRPr="00B83170">
        <w:rPr>
          <w:rFonts w:ascii="Arial" w:eastAsia="Times New Roman" w:hAnsi="Arial" w:cs="Arial"/>
          <w:color w:val="000000"/>
          <w:lang w:eastAsia="it-IT"/>
        </w:rPr>
        <w:t>i redditività”, sulla base del fatto</w:t>
      </w:r>
      <w:r w:rsidR="001C2B0B" w:rsidRPr="00B83170">
        <w:rPr>
          <w:rFonts w:ascii="Arial" w:eastAsia="Times New Roman" w:hAnsi="Arial" w:cs="Arial"/>
          <w:color w:val="000000"/>
          <w:lang w:eastAsia="it-IT"/>
        </w:rPr>
        <w:t xml:space="preserve"> che </w:t>
      </w:r>
      <w:r w:rsidR="003F05F0" w:rsidRPr="00B83170">
        <w:rPr>
          <w:rFonts w:ascii="Arial" w:eastAsia="Times New Roman" w:hAnsi="Arial" w:cs="Arial"/>
          <w:color w:val="000000"/>
          <w:lang w:eastAsia="it-IT"/>
        </w:rPr>
        <w:t>«</w:t>
      </w:r>
      <w:r w:rsidR="003F05F0" w:rsidRPr="00B83170">
        <w:rPr>
          <w:rFonts w:ascii="Arial" w:eastAsia="Times New Roman" w:hAnsi="Arial" w:cs="Arial"/>
          <w:i/>
          <w:color w:val="000000"/>
          <w:lang w:eastAsia="it-IT"/>
        </w:rPr>
        <w:t>non vi sarebbero elementi concreti e verificabili in forza dei quali ritenere che in relazione al periodo considerato sia dalla delibera, sia dalle successive determinazioni impugnate con ricorsi per motivi aggiunti, i costi degli operatori per l’approvvigionamento del gas si siano effettivamente ridotti in misura corrispondente a quella che deriva dall’applicazione del coefficiente K</w:t>
      </w:r>
      <w:r w:rsidR="003F05F0" w:rsidRPr="00B83170">
        <w:rPr>
          <w:rFonts w:ascii="Arial" w:eastAsia="Times New Roman" w:hAnsi="Arial" w:cs="Arial"/>
          <w:color w:val="000000"/>
          <w:lang w:eastAsia="it-IT"/>
        </w:rPr>
        <w:t>».</w:t>
      </w:r>
    </w:p>
    <w:p w:rsidR="00843001" w:rsidRPr="00B83170" w:rsidRDefault="00843001" w:rsidP="00B83170">
      <w:pPr>
        <w:spacing w:after="0" w:line="260" w:lineRule="exact"/>
        <w:ind w:firstLine="284"/>
        <w:jc w:val="both"/>
        <w:rPr>
          <w:rFonts w:ascii="Arial" w:hAnsi="Arial" w:cs="Arial"/>
        </w:rPr>
      </w:pPr>
      <w:r w:rsidRPr="00B83170">
        <w:rPr>
          <w:rFonts w:ascii="Arial" w:hAnsi="Arial" w:cs="Arial"/>
        </w:rPr>
        <w:t xml:space="preserve">Tale </w:t>
      </w:r>
      <w:r w:rsidR="00AA192E" w:rsidRPr="00B83170">
        <w:rPr>
          <w:rFonts w:ascii="Arial" w:hAnsi="Arial" w:cs="Arial"/>
        </w:rPr>
        <w:t>impostazione</w:t>
      </w:r>
      <w:r w:rsidRPr="00B83170">
        <w:rPr>
          <w:rFonts w:ascii="Arial" w:hAnsi="Arial" w:cs="Arial"/>
        </w:rPr>
        <w:t xml:space="preserve"> si riscontra anche </w:t>
      </w:r>
      <w:r w:rsidR="00CC6CE3">
        <w:rPr>
          <w:rFonts w:ascii="Arial" w:hAnsi="Arial" w:cs="Arial"/>
        </w:rPr>
        <w:t>nella già citata sentenza</w:t>
      </w:r>
      <w:r w:rsidR="001D4AEA">
        <w:rPr>
          <w:rFonts w:ascii="Arial" w:hAnsi="Arial" w:cs="Arial"/>
        </w:rPr>
        <w:t xml:space="preserve"> del TAR Lombardia, Milano, III,</w:t>
      </w:r>
      <w:r w:rsidR="00CC6CE3">
        <w:rPr>
          <w:rFonts w:ascii="Arial" w:hAnsi="Arial" w:cs="Arial"/>
        </w:rPr>
        <w:t xml:space="preserve"> 24 giugno 2014, n. 1648</w:t>
      </w:r>
      <w:r w:rsidR="001D4AEA">
        <w:rPr>
          <w:rFonts w:ascii="Arial" w:hAnsi="Arial" w:cs="Arial"/>
        </w:rPr>
        <w:t>,</w:t>
      </w:r>
      <w:r w:rsidR="00CC6CE3">
        <w:rPr>
          <w:rFonts w:ascii="Arial" w:hAnsi="Arial" w:cs="Arial"/>
        </w:rPr>
        <w:t xml:space="preserve"> </w:t>
      </w:r>
      <w:r w:rsidR="00C917B2" w:rsidRPr="00B83170">
        <w:rPr>
          <w:rFonts w:ascii="Arial" w:hAnsi="Arial" w:cs="Arial"/>
        </w:rPr>
        <w:t xml:space="preserve">nella quale il G.A. </w:t>
      </w:r>
      <w:r w:rsidR="00AA192E" w:rsidRPr="00B83170">
        <w:rPr>
          <w:rFonts w:ascii="Arial" w:hAnsi="Arial" w:cs="Arial"/>
        </w:rPr>
        <w:t>ha affermato</w:t>
      </w:r>
      <w:r w:rsidR="00C917B2" w:rsidRPr="00B83170">
        <w:rPr>
          <w:rFonts w:ascii="Arial" w:hAnsi="Arial" w:cs="Arial"/>
        </w:rPr>
        <w:t xml:space="preserve"> l’insussistenza dei presupposti di fatto</w:t>
      </w:r>
      <w:r w:rsidR="00EB0428" w:rsidRPr="00B83170">
        <w:rPr>
          <w:rFonts w:ascii="Arial" w:hAnsi="Arial" w:cs="Arial"/>
        </w:rPr>
        <w:t xml:space="preserve"> (ossia l’aumento dei costi per gli utenti e la presenza di rischi per il sistema elettrico) </w:t>
      </w:r>
      <w:r w:rsidR="00C917B2" w:rsidRPr="00B83170">
        <w:rPr>
          <w:rFonts w:ascii="Arial" w:hAnsi="Arial" w:cs="Arial"/>
        </w:rPr>
        <w:t xml:space="preserve"> posti a base della delibera di modifica dei prezzi di sbilanciamento</w:t>
      </w:r>
      <w:r w:rsidR="00EB0428" w:rsidRPr="00B83170">
        <w:rPr>
          <w:rFonts w:ascii="Arial" w:hAnsi="Arial" w:cs="Arial"/>
        </w:rPr>
        <w:t xml:space="preserve">, </w:t>
      </w:r>
      <w:r w:rsidR="00381825" w:rsidRPr="00B83170">
        <w:rPr>
          <w:rFonts w:ascii="Arial" w:hAnsi="Arial" w:cs="Arial"/>
        </w:rPr>
        <w:t>in virtù dell</w:t>
      </w:r>
      <w:r w:rsidR="005100B4" w:rsidRPr="00B83170">
        <w:rPr>
          <w:rFonts w:ascii="Arial" w:hAnsi="Arial" w:cs="Arial"/>
        </w:rPr>
        <w:t>e</w:t>
      </w:r>
      <w:r w:rsidR="00381825" w:rsidRPr="00B83170">
        <w:rPr>
          <w:rFonts w:ascii="Arial" w:hAnsi="Arial" w:cs="Arial"/>
        </w:rPr>
        <w:t xml:space="preserve"> circostanz</w:t>
      </w:r>
      <w:r w:rsidR="005100B4" w:rsidRPr="00B83170">
        <w:rPr>
          <w:rFonts w:ascii="Arial" w:hAnsi="Arial" w:cs="Arial"/>
        </w:rPr>
        <w:t>e</w:t>
      </w:r>
      <w:r w:rsidR="00381825" w:rsidRPr="00B83170">
        <w:rPr>
          <w:rFonts w:ascii="Arial" w:hAnsi="Arial" w:cs="Arial"/>
        </w:rPr>
        <w:t xml:space="preserve"> </w:t>
      </w:r>
      <w:r w:rsidR="00EB0428" w:rsidRPr="00B83170">
        <w:rPr>
          <w:rFonts w:ascii="Arial" w:hAnsi="Arial" w:cs="Arial"/>
        </w:rPr>
        <w:t>che «</w:t>
      </w:r>
      <w:r w:rsidR="00EB0428" w:rsidRPr="00B83170">
        <w:rPr>
          <w:rFonts w:ascii="Arial" w:eastAsia="Times New Roman" w:hAnsi="Arial" w:cs="Arial"/>
          <w:i/>
          <w:color w:val="000000"/>
          <w:lang w:eastAsia="it-IT"/>
        </w:rPr>
        <w:t>nel corpo della deliberazione impugnata non</w:t>
      </w:r>
      <w:r w:rsidR="00FA5EDD" w:rsidRPr="00B83170">
        <w:rPr>
          <w:rFonts w:ascii="Arial" w:eastAsia="Times New Roman" w:hAnsi="Arial" w:cs="Arial"/>
          <w:i/>
          <w:color w:val="000000"/>
          <w:lang w:eastAsia="it-IT"/>
        </w:rPr>
        <w:t>»</w:t>
      </w:r>
      <w:r w:rsidR="00EB0428" w:rsidRPr="00B83170">
        <w:rPr>
          <w:rFonts w:ascii="Arial" w:eastAsia="Times New Roman" w:hAnsi="Arial" w:cs="Arial"/>
          <w:i/>
          <w:color w:val="000000"/>
          <w:lang w:eastAsia="it-IT"/>
        </w:rPr>
        <w:t xml:space="preserve"> </w:t>
      </w:r>
      <w:r w:rsidR="00FA5EDD" w:rsidRPr="00B83170">
        <w:rPr>
          <w:rFonts w:ascii="Arial" w:eastAsia="Times New Roman" w:hAnsi="Arial" w:cs="Arial"/>
          <w:color w:val="000000"/>
          <w:lang w:eastAsia="it-IT"/>
        </w:rPr>
        <w:t>fosse emersa</w:t>
      </w:r>
      <w:r w:rsidR="00FA5EDD" w:rsidRPr="00B83170">
        <w:rPr>
          <w:rFonts w:ascii="Arial" w:eastAsia="Times New Roman" w:hAnsi="Arial" w:cs="Arial"/>
          <w:i/>
          <w:color w:val="000000"/>
          <w:lang w:eastAsia="it-IT"/>
        </w:rPr>
        <w:t xml:space="preserve"> «</w:t>
      </w:r>
      <w:r w:rsidR="00EB0428" w:rsidRPr="00B83170">
        <w:rPr>
          <w:rFonts w:ascii="Arial" w:eastAsia="Times New Roman" w:hAnsi="Arial" w:cs="Arial"/>
          <w:i/>
          <w:color w:val="000000"/>
          <w:lang w:eastAsia="it-IT"/>
        </w:rPr>
        <w:t>la sussistenza di un tale presupposto che, pertanto, risulta</w:t>
      </w:r>
      <w:r w:rsidR="00EB0428" w:rsidRPr="00B83170">
        <w:rPr>
          <w:rFonts w:ascii="Arial" w:eastAsia="Times New Roman" w:hAnsi="Arial" w:cs="Arial"/>
          <w:color w:val="000000"/>
          <w:lang w:eastAsia="it-IT"/>
        </w:rPr>
        <w:t>(va)</w:t>
      </w:r>
      <w:r w:rsidR="00EB0428" w:rsidRPr="00B83170">
        <w:rPr>
          <w:rFonts w:ascii="Arial" w:eastAsia="Times New Roman" w:hAnsi="Arial" w:cs="Arial"/>
          <w:i/>
          <w:color w:val="000000"/>
          <w:lang w:eastAsia="it-IT"/>
        </w:rPr>
        <w:t xml:space="preserve"> assolutamente apodittico</w:t>
      </w:r>
      <w:r w:rsidR="00EB0428" w:rsidRPr="00B83170">
        <w:rPr>
          <w:rFonts w:ascii="Arial" w:eastAsia="Times New Roman" w:hAnsi="Arial" w:cs="Arial"/>
          <w:color w:val="000000"/>
          <w:lang w:eastAsia="it-IT"/>
        </w:rPr>
        <w:t>» e vieppiù che «</w:t>
      </w:r>
      <w:r w:rsidR="00EB0428" w:rsidRPr="00B83170">
        <w:rPr>
          <w:rFonts w:ascii="Arial" w:eastAsia="Times New Roman" w:hAnsi="Arial" w:cs="Arial"/>
          <w:i/>
          <w:color w:val="000000"/>
          <w:lang w:eastAsia="it-IT"/>
        </w:rPr>
        <w:t>dall’esito dell’indagine conoscitiva</w:t>
      </w:r>
      <w:r w:rsidR="00EB0428" w:rsidRPr="00B83170">
        <w:rPr>
          <w:rFonts w:ascii="Arial" w:eastAsia="Times New Roman" w:hAnsi="Arial" w:cs="Arial"/>
          <w:color w:val="000000"/>
          <w:lang w:eastAsia="it-IT"/>
        </w:rPr>
        <w:t>» condotta dal gestore della rete Terna S.p.A. fosse emerso «</w:t>
      </w:r>
      <w:r w:rsidR="00EB0428" w:rsidRPr="00B83170">
        <w:rPr>
          <w:rFonts w:ascii="Arial" w:eastAsia="Times New Roman" w:hAnsi="Arial" w:cs="Arial"/>
          <w:i/>
          <w:color w:val="000000"/>
          <w:lang w:eastAsia="it-IT"/>
        </w:rPr>
        <w:t>che nessun rischio effettivo risultava gravare sul sistema elettrico</w:t>
      </w:r>
      <w:r w:rsidR="00EB0428" w:rsidRPr="00B83170">
        <w:rPr>
          <w:rFonts w:ascii="Arial" w:eastAsia="Times New Roman" w:hAnsi="Arial" w:cs="Arial"/>
          <w:color w:val="000000"/>
          <w:lang w:eastAsia="it-IT"/>
        </w:rPr>
        <w:t>».</w:t>
      </w:r>
    </w:p>
    <w:p w:rsidR="00FA5EDD" w:rsidRPr="00B83170" w:rsidRDefault="00FA5EDD" w:rsidP="00B83170">
      <w:pPr>
        <w:spacing w:after="0" w:line="260" w:lineRule="exact"/>
        <w:ind w:firstLine="284"/>
        <w:jc w:val="both"/>
        <w:rPr>
          <w:rFonts w:ascii="Arial" w:eastAsia="Times New Roman" w:hAnsi="Arial" w:cs="Arial"/>
          <w:lang w:eastAsia="it-IT"/>
        </w:rPr>
      </w:pPr>
      <w:r w:rsidRPr="00B83170">
        <w:rPr>
          <w:rFonts w:ascii="Arial" w:eastAsia="Times New Roman" w:hAnsi="Arial" w:cs="Arial"/>
          <w:color w:val="000000"/>
          <w:lang w:eastAsia="it-IT"/>
        </w:rPr>
        <w:t xml:space="preserve">In entrambi i casi dunque il G.A. non procede ad una verifica diretta dei fatti rilevanti per la decisione, </w:t>
      </w:r>
      <w:r w:rsidR="006049B7" w:rsidRPr="00B83170">
        <w:rPr>
          <w:rFonts w:ascii="Arial" w:eastAsia="Times New Roman" w:hAnsi="Arial" w:cs="Arial"/>
          <w:color w:val="000000"/>
          <w:lang w:eastAsia="it-IT"/>
        </w:rPr>
        <w:t xml:space="preserve">ma si limita ad affermarne </w:t>
      </w:r>
      <w:r w:rsidRPr="00B83170">
        <w:rPr>
          <w:rFonts w:ascii="Arial" w:eastAsia="Times New Roman" w:hAnsi="Arial" w:cs="Arial"/>
          <w:color w:val="000000"/>
          <w:lang w:eastAsia="it-IT"/>
        </w:rPr>
        <w:t xml:space="preserve">l’esistenza sulla base degli stessi atti dell’AEEGSI o </w:t>
      </w:r>
      <w:r w:rsidR="006049B7" w:rsidRPr="00B83170">
        <w:rPr>
          <w:rFonts w:ascii="Arial" w:eastAsia="Times New Roman" w:hAnsi="Arial" w:cs="Arial"/>
          <w:color w:val="000000"/>
          <w:lang w:eastAsia="it-IT"/>
        </w:rPr>
        <w:t xml:space="preserve">ad altri atti prodotti in causa; nel primo caso non accerta gli elementi concreti in forza dei quali si possa ritenere che i costi degli operatori per l’approvvigionamento del gas si siano effettivamente ridotti in misura corrispondente </w:t>
      </w:r>
      <w:r w:rsidR="006049B7" w:rsidRPr="00B83170">
        <w:rPr>
          <w:rFonts w:ascii="Arial" w:eastAsia="Times New Roman" w:hAnsi="Arial" w:cs="Arial"/>
          <w:lang w:eastAsia="it-IT"/>
        </w:rPr>
        <w:t>a quella che deriva dall’applicazione del coefficiente K; nel secondo caso non verifica l’effettivo aumento dei costi per gli utenti.</w:t>
      </w:r>
    </w:p>
    <w:p w:rsidR="003C28AA" w:rsidRPr="00B83170" w:rsidRDefault="000F002F" w:rsidP="00B83170">
      <w:pPr>
        <w:spacing w:after="0" w:line="260" w:lineRule="exact"/>
        <w:ind w:firstLine="284"/>
        <w:jc w:val="both"/>
        <w:rPr>
          <w:rFonts w:ascii="Arial" w:eastAsia="Times New Roman" w:hAnsi="Arial" w:cs="Arial"/>
          <w:lang w:eastAsia="it-IT"/>
        </w:rPr>
      </w:pPr>
      <w:r w:rsidRPr="00B83170">
        <w:rPr>
          <w:rFonts w:ascii="Arial" w:eastAsia="Times New Roman" w:hAnsi="Arial" w:cs="Arial"/>
          <w:lang w:eastAsia="it-IT"/>
        </w:rPr>
        <w:t>Sennonché</w:t>
      </w:r>
      <w:r w:rsidR="00DC7523" w:rsidRPr="00B83170">
        <w:rPr>
          <w:rFonts w:ascii="Arial" w:eastAsia="Times New Roman" w:hAnsi="Arial" w:cs="Arial"/>
          <w:lang w:eastAsia="it-IT"/>
        </w:rPr>
        <w:t xml:space="preserve"> già da tempo</w:t>
      </w:r>
      <w:r w:rsidRPr="00B83170">
        <w:rPr>
          <w:rFonts w:ascii="Arial" w:eastAsia="Times New Roman" w:hAnsi="Arial" w:cs="Arial"/>
          <w:lang w:eastAsia="it-IT"/>
        </w:rPr>
        <w:t xml:space="preserve"> il Consiglio di Stato ha chiarito</w:t>
      </w:r>
      <w:r w:rsidR="000F123A" w:rsidRPr="00B83170">
        <w:rPr>
          <w:rFonts w:ascii="Arial" w:eastAsia="Times New Roman" w:hAnsi="Arial" w:cs="Arial"/>
          <w:lang w:eastAsia="it-IT"/>
        </w:rPr>
        <w:t>,</w:t>
      </w:r>
      <w:r w:rsidRPr="00B83170">
        <w:rPr>
          <w:rFonts w:ascii="Arial" w:eastAsia="Times New Roman" w:hAnsi="Arial" w:cs="Arial"/>
          <w:lang w:eastAsia="it-IT"/>
        </w:rPr>
        <w:t xml:space="preserve"> </w:t>
      </w:r>
      <w:r w:rsidR="002B14C9" w:rsidRPr="00B83170">
        <w:rPr>
          <w:rFonts w:ascii="Arial" w:eastAsia="Times New Roman" w:hAnsi="Arial" w:cs="Arial"/>
          <w:lang w:eastAsia="it-IT"/>
        </w:rPr>
        <w:t>con riferimento al sindacato</w:t>
      </w:r>
      <w:r w:rsidR="000F123A" w:rsidRPr="00B83170">
        <w:rPr>
          <w:rFonts w:ascii="Arial" w:eastAsia="Times New Roman" w:hAnsi="Arial" w:cs="Arial"/>
          <w:lang w:eastAsia="it-IT"/>
        </w:rPr>
        <w:t xml:space="preserve"> della discrezionalità tecnica propria</w:t>
      </w:r>
      <w:r w:rsidR="002B14C9" w:rsidRPr="00B83170">
        <w:rPr>
          <w:rFonts w:ascii="Arial" w:eastAsia="Times New Roman" w:hAnsi="Arial" w:cs="Arial"/>
          <w:lang w:eastAsia="it-IT"/>
        </w:rPr>
        <w:t xml:space="preserve"> degli atti dell’Antitrust</w:t>
      </w:r>
      <w:r w:rsidR="000F123A" w:rsidRPr="00B83170">
        <w:rPr>
          <w:rFonts w:ascii="Arial" w:eastAsia="Times New Roman" w:hAnsi="Arial" w:cs="Arial"/>
          <w:lang w:eastAsia="it-IT"/>
        </w:rPr>
        <w:t>,</w:t>
      </w:r>
      <w:r w:rsidR="002B14C9" w:rsidRPr="00B83170">
        <w:rPr>
          <w:rFonts w:ascii="Arial" w:eastAsia="Times New Roman" w:hAnsi="Arial" w:cs="Arial"/>
          <w:lang w:eastAsia="it-IT"/>
        </w:rPr>
        <w:t xml:space="preserve"> che</w:t>
      </w:r>
      <w:r w:rsidR="00E4665D" w:rsidRPr="00B83170">
        <w:rPr>
          <w:rFonts w:ascii="Arial" w:eastAsia="Times New Roman" w:hAnsi="Arial" w:cs="Arial"/>
          <w:lang w:eastAsia="it-IT"/>
        </w:rPr>
        <w:t xml:space="preserve"> la natura tecnica della valutazione</w:t>
      </w:r>
      <w:r w:rsidR="002B14C9" w:rsidRPr="00B83170">
        <w:rPr>
          <w:rFonts w:ascii="Arial" w:eastAsia="Times New Roman" w:hAnsi="Arial" w:cs="Arial"/>
          <w:lang w:eastAsia="it-IT"/>
        </w:rPr>
        <w:t xml:space="preserve"> non </w:t>
      </w:r>
      <w:r w:rsidR="00E4665D" w:rsidRPr="00B83170">
        <w:rPr>
          <w:rFonts w:ascii="Arial" w:eastAsia="Times New Roman" w:hAnsi="Arial" w:cs="Arial"/>
          <w:lang w:eastAsia="it-IT"/>
        </w:rPr>
        <w:t>preclude</w:t>
      </w:r>
      <w:r w:rsidR="002B14C9" w:rsidRPr="00B83170">
        <w:rPr>
          <w:rFonts w:ascii="Arial" w:eastAsia="Times New Roman" w:hAnsi="Arial" w:cs="Arial"/>
          <w:lang w:eastAsia="it-IT"/>
        </w:rPr>
        <w:t xml:space="preserve"> al giudicante </w:t>
      </w:r>
      <w:r w:rsidR="00E4665D" w:rsidRPr="00B83170">
        <w:rPr>
          <w:rFonts w:ascii="Arial" w:eastAsia="Times New Roman" w:hAnsi="Arial" w:cs="Arial"/>
          <w:lang w:eastAsia="it-IT"/>
        </w:rPr>
        <w:t xml:space="preserve">di </w:t>
      </w:r>
      <w:r w:rsidR="002B14C9" w:rsidRPr="00B83170">
        <w:rPr>
          <w:rFonts w:ascii="Arial" w:eastAsia="Times New Roman" w:hAnsi="Arial" w:cs="Arial"/>
          <w:lang w:eastAsia="it-IT"/>
        </w:rPr>
        <w:t>verificare l’effettiva esistenza del fatto storico</w:t>
      </w:r>
      <w:r w:rsidR="00A46774" w:rsidRPr="00B83170">
        <w:rPr>
          <w:rFonts w:ascii="Arial" w:eastAsia="Times New Roman" w:hAnsi="Arial" w:cs="Arial"/>
          <w:lang w:eastAsia="it-IT"/>
        </w:rPr>
        <w:t xml:space="preserve"> posto a base del provvedimento</w:t>
      </w:r>
      <w:r w:rsidR="002B14C9" w:rsidRPr="00B83170">
        <w:rPr>
          <w:rFonts w:ascii="Arial" w:eastAsia="Times New Roman" w:hAnsi="Arial" w:cs="Arial"/>
          <w:lang w:eastAsia="it-IT"/>
        </w:rPr>
        <w:t>, ma</w:t>
      </w:r>
      <w:r w:rsidR="00381825" w:rsidRPr="00B83170">
        <w:rPr>
          <w:rFonts w:ascii="Arial" w:eastAsia="Times New Roman" w:hAnsi="Arial" w:cs="Arial"/>
          <w:lang w:eastAsia="it-IT"/>
        </w:rPr>
        <w:t>,</w:t>
      </w:r>
      <w:r w:rsidR="002B14C9" w:rsidRPr="00B83170">
        <w:rPr>
          <w:rFonts w:ascii="Arial" w:eastAsia="Times New Roman" w:hAnsi="Arial" w:cs="Arial"/>
          <w:lang w:eastAsia="it-IT"/>
        </w:rPr>
        <w:t xml:space="preserve"> piuttosto</w:t>
      </w:r>
      <w:r w:rsidR="00381825" w:rsidRPr="00B83170">
        <w:rPr>
          <w:rFonts w:ascii="Arial" w:eastAsia="Times New Roman" w:hAnsi="Arial" w:cs="Arial"/>
          <w:lang w:eastAsia="it-IT"/>
        </w:rPr>
        <w:t>,</w:t>
      </w:r>
      <w:r w:rsidR="002B14C9" w:rsidRPr="00B83170">
        <w:rPr>
          <w:rFonts w:ascii="Arial" w:eastAsia="Times New Roman" w:hAnsi="Arial" w:cs="Arial"/>
          <w:lang w:eastAsia="it-IT"/>
        </w:rPr>
        <w:t xml:space="preserve"> </w:t>
      </w:r>
      <w:r w:rsidR="00E4665D" w:rsidRPr="00B83170">
        <w:rPr>
          <w:rFonts w:ascii="Arial" w:eastAsia="Times New Roman" w:hAnsi="Arial" w:cs="Arial"/>
          <w:lang w:eastAsia="it-IT"/>
        </w:rPr>
        <w:t>limita</w:t>
      </w:r>
      <w:r w:rsidR="002B14C9" w:rsidRPr="00B83170">
        <w:rPr>
          <w:rFonts w:ascii="Arial" w:eastAsia="Times New Roman" w:hAnsi="Arial" w:cs="Arial"/>
          <w:lang w:eastAsia="it-IT"/>
        </w:rPr>
        <w:t xml:space="preserve"> il vaglio della qualificazione del detto fatto nel concetto </w:t>
      </w:r>
      <w:r w:rsidR="00A46774" w:rsidRPr="00B83170">
        <w:rPr>
          <w:rFonts w:ascii="Arial" w:eastAsia="Times New Roman" w:hAnsi="Arial" w:cs="Arial"/>
          <w:lang w:eastAsia="it-IT"/>
        </w:rPr>
        <w:t>giuridico indeterminato richiamato dalla norma attributiva di potere</w:t>
      </w:r>
      <w:r w:rsidR="002B14C9" w:rsidRPr="00B83170">
        <w:rPr>
          <w:rStyle w:val="Rimandonotaapidipagina"/>
          <w:rFonts w:ascii="Arial" w:eastAsia="Times New Roman" w:hAnsi="Arial" w:cs="Arial"/>
          <w:lang w:eastAsia="it-IT"/>
        </w:rPr>
        <w:footnoteReference w:id="19"/>
      </w:r>
      <w:r w:rsidR="002B14C9" w:rsidRPr="00B83170">
        <w:rPr>
          <w:rFonts w:ascii="Arial" w:eastAsia="Times New Roman" w:hAnsi="Arial" w:cs="Arial"/>
          <w:lang w:eastAsia="it-IT"/>
        </w:rPr>
        <w:t>.</w:t>
      </w:r>
    </w:p>
    <w:p w:rsidR="00B60D5B" w:rsidRPr="00B83170" w:rsidRDefault="00A46774" w:rsidP="00B83170">
      <w:pPr>
        <w:spacing w:after="0" w:line="260" w:lineRule="exact"/>
        <w:ind w:firstLine="284"/>
        <w:jc w:val="both"/>
        <w:rPr>
          <w:rFonts w:ascii="Arial" w:eastAsia="Times New Roman" w:hAnsi="Arial" w:cs="Arial"/>
          <w:lang w:eastAsia="it-IT"/>
        </w:rPr>
      </w:pPr>
      <w:r w:rsidRPr="00B83170">
        <w:rPr>
          <w:rFonts w:ascii="Arial" w:eastAsia="Times New Roman" w:hAnsi="Arial" w:cs="Arial"/>
          <w:lang w:eastAsia="it-IT"/>
        </w:rPr>
        <w:lastRenderedPageBreak/>
        <w:t>Seppur affermato in relazione alla diversa attività di aggiudicazione propria dell’AGCM, non si rinvengono ostacoli alla sua applicazione all’attività di regolazione, dal momento che anche quest’ultima fonda la propria scelta normativa sulla base del rilevamento di fatti storici</w:t>
      </w:r>
      <w:r w:rsidRPr="00B83170">
        <w:rPr>
          <w:rStyle w:val="Rimandonotaapidipagina"/>
          <w:rFonts w:ascii="Arial" w:eastAsia="Times New Roman" w:hAnsi="Arial" w:cs="Arial"/>
          <w:lang w:eastAsia="it-IT"/>
        </w:rPr>
        <w:footnoteReference w:id="20"/>
      </w:r>
      <w:r w:rsidRPr="00B83170">
        <w:rPr>
          <w:rFonts w:ascii="Arial" w:eastAsia="Times New Roman" w:hAnsi="Arial" w:cs="Arial"/>
          <w:lang w:eastAsia="it-IT"/>
        </w:rPr>
        <w:t>.</w:t>
      </w:r>
    </w:p>
    <w:p w:rsidR="003903FD" w:rsidRDefault="003903FD" w:rsidP="00B83170">
      <w:pPr>
        <w:spacing w:after="0" w:line="260" w:lineRule="exact"/>
        <w:ind w:firstLine="284"/>
        <w:jc w:val="both"/>
        <w:rPr>
          <w:rFonts w:ascii="Arial" w:eastAsia="Times New Roman" w:hAnsi="Arial" w:cs="Arial"/>
          <w:lang w:eastAsia="it-IT"/>
        </w:rPr>
      </w:pPr>
      <w:r w:rsidRPr="00B83170">
        <w:rPr>
          <w:rFonts w:ascii="Arial" w:eastAsia="Times New Roman" w:hAnsi="Arial" w:cs="Arial"/>
          <w:lang w:eastAsia="it-IT"/>
        </w:rPr>
        <w:t>Sotto tale profilo la giurisprudenza pare ancora influenzata da un eccessiva timidezza nell’</w:t>
      </w:r>
      <w:r w:rsidR="007C3FC9" w:rsidRPr="00B83170">
        <w:rPr>
          <w:rFonts w:ascii="Arial" w:eastAsia="Times New Roman" w:hAnsi="Arial" w:cs="Arial"/>
          <w:lang w:eastAsia="it-IT"/>
        </w:rPr>
        <w:t xml:space="preserve">approccio a questioni tecniche. </w:t>
      </w:r>
      <w:r w:rsidR="001651CC" w:rsidRPr="00B83170">
        <w:rPr>
          <w:rFonts w:ascii="Arial" w:eastAsia="Times New Roman" w:hAnsi="Arial" w:cs="Arial"/>
          <w:lang w:eastAsia="it-IT"/>
        </w:rPr>
        <w:t xml:space="preserve">Timidezza che </w:t>
      </w:r>
      <w:r w:rsidR="00AA1D19" w:rsidRPr="00B83170">
        <w:rPr>
          <w:rFonts w:ascii="Arial" w:eastAsia="Times New Roman" w:hAnsi="Arial" w:cs="Arial"/>
          <w:lang w:eastAsia="it-IT"/>
        </w:rPr>
        <w:t xml:space="preserve">invero </w:t>
      </w:r>
      <w:r w:rsidR="001651CC" w:rsidRPr="00B83170">
        <w:rPr>
          <w:rFonts w:ascii="Arial" w:eastAsia="Times New Roman" w:hAnsi="Arial" w:cs="Arial"/>
          <w:lang w:eastAsia="it-IT"/>
        </w:rPr>
        <w:t xml:space="preserve">dovrebbe appartenere alla storia del processo, </w:t>
      </w:r>
      <w:r w:rsidR="00EC4F62" w:rsidRPr="00B83170">
        <w:rPr>
          <w:rFonts w:ascii="Arial" w:eastAsia="Times New Roman" w:hAnsi="Arial" w:cs="Arial"/>
          <w:lang w:eastAsia="it-IT"/>
        </w:rPr>
        <w:t>considerato che il giudice amministrativo</w:t>
      </w:r>
      <w:r w:rsidR="001F6C07" w:rsidRPr="00B83170">
        <w:rPr>
          <w:rFonts w:ascii="Arial" w:eastAsia="Times New Roman" w:hAnsi="Arial" w:cs="Arial"/>
          <w:lang w:eastAsia="it-IT"/>
        </w:rPr>
        <w:t>,</w:t>
      </w:r>
      <w:r w:rsidR="00F0648B" w:rsidRPr="00B83170">
        <w:rPr>
          <w:rFonts w:ascii="Arial" w:eastAsia="Times New Roman" w:hAnsi="Arial" w:cs="Arial"/>
          <w:lang w:eastAsia="it-IT"/>
        </w:rPr>
        <w:t xml:space="preserve"> anche di fronte al mondo della tecnica</w:t>
      </w:r>
      <w:r w:rsidR="001F6C07" w:rsidRPr="00B83170">
        <w:rPr>
          <w:rFonts w:ascii="Arial" w:eastAsia="Times New Roman" w:hAnsi="Arial" w:cs="Arial"/>
          <w:lang w:eastAsia="it-IT"/>
        </w:rPr>
        <w:t>,</w:t>
      </w:r>
      <w:r w:rsidR="00EC4F62" w:rsidRPr="00B83170">
        <w:rPr>
          <w:rFonts w:ascii="Arial" w:eastAsia="Times New Roman" w:hAnsi="Arial" w:cs="Arial"/>
          <w:i/>
          <w:lang w:eastAsia="it-IT"/>
        </w:rPr>
        <w:t xml:space="preserve"> </w:t>
      </w:r>
      <w:r w:rsidR="001F6C07" w:rsidRPr="00B83170">
        <w:rPr>
          <w:rFonts w:ascii="Arial" w:hAnsi="Arial" w:cs="Arial"/>
        </w:rPr>
        <w:t>«</w:t>
      </w:r>
      <w:r w:rsidR="00EC4F62" w:rsidRPr="00B83170">
        <w:rPr>
          <w:rFonts w:ascii="Arial" w:eastAsia="Times New Roman" w:hAnsi="Arial" w:cs="Arial"/>
          <w:i/>
          <w:lang w:eastAsia="it-IT"/>
        </w:rPr>
        <w:t>si è da tempo impadronito del fatto e ne possiede piena conoscenza</w:t>
      </w:r>
      <w:r w:rsidR="00245A9F" w:rsidRPr="00B83170">
        <w:rPr>
          <w:rStyle w:val="Rimandonotaapidipagina"/>
          <w:rFonts w:ascii="Arial" w:eastAsia="Times New Roman" w:hAnsi="Arial" w:cs="Arial"/>
          <w:i/>
          <w:lang w:eastAsia="it-IT"/>
        </w:rPr>
        <w:footnoteReference w:id="21"/>
      </w:r>
      <w:r w:rsidR="00F0648B" w:rsidRPr="00B83170">
        <w:rPr>
          <w:rFonts w:ascii="Arial" w:eastAsia="Times New Roman" w:hAnsi="Arial" w:cs="Arial"/>
          <w:lang w:eastAsia="it-IT"/>
        </w:rPr>
        <w:t>»</w:t>
      </w:r>
      <w:r w:rsidR="00EC4F62" w:rsidRPr="00B83170">
        <w:rPr>
          <w:rFonts w:ascii="Arial" w:eastAsia="Times New Roman" w:hAnsi="Arial" w:cs="Arial"/>
          <w:lang w:eastAsia="it-IT"/>
        </w:rPr>
        <w:t>.</w:t>
      </w:r>
      <w:r w:rsidR="001651CC" w:rsidRPr="00B83170">
        <w:rPr>
          <w:rFonts w:ascii="Arial" w:eastAsia="Times New Roman" w:hAnsi="Arial" w:cs="Arial"/>
          <w:lang w:eastAsia="it-IT"/>
        </w:rPr>
        <w:t xml:space="preserve"> </w:t>
      </w:r>
    </w:p>
    <w:p w:rsidR="0030660B" w:rsidRPr="00B83170" w:rsidRDefault="0030660B" w:rsidP="00B83170">
      <w:pPr>
        <w:spacing w:after="0" w:line="260" w:lineRule="exact"/>
        <w:ind w:firstLine="284"/>
        <w:jc w:val="both"/>
        <w:rPr>
          <w:rFonts w:ascii="Arial" w:eastAsia="Times New Roman" w:hAnsi="Arial" w:cs="Arial"/>
          <w:lang w:eastAsia="it-IT"/>
        </w:rPr>
      </w:pPr>
    </w:p>
    <w:p w:rsidR="0030660B" w:rsidRPr="004C214D" w:rsidRDefault="003D2681" w:rsidP="004C214D">
      <w:pPr>
        <w:pStyle w:val="Paragrafoelenco"/>
        <w:numPr>
          <w:ilvl w:val="0"/>
          <w:numId w:val="3"/>
        </w:numPr>
        <w:spacing w:before="640" w:after="384" w:line="290" w:lineRule="exact"/>
        <w:ind w:left="-40" w:hanging="357"/>
        <w:jc w:val="both"/>
        <w:rPr>
          <w:rFonts w:ascii="Arial" w:eastAsia="Times New Roman" w:hAnsi="Arial"/>
          <w:b/>
          <w:color w:val="974726"/>
          <w:sz w:val="25"/>
          <w:szCs w:val="20"/>
          <w:lang w:eastAsia="it-IT"/>
        </w:rPr>
      </w:pPr>
      <w:r w:rsidRPr="0030660B">
        <w:rPr>
          <w:rFonts w:ascii="Arial" w:eastAsia="Times New Roman" w:hAnsi="Arial"/>
          <w:b/>
          <w:color w:val="974726"/>
          <w:sz w:val="25"/>
          <w:szCs w:val="20"/>
          <w:lang w:eastAsia="it-IT"/>
        </w:rPr>
        <w:t>La legalità formale nel potere regolatorio. La partecipaz</w:t>
      </w:r>
      <w:r w:rsidR="004C214D">
        <w:rPr>
          <w:rFonts w:ascii="Arial" w:eastAsia="Times New Roman" w:hAnsi="Arial"/>
          <w:b/>
          <w:color w:val="974726"/>
          <w:sz w:val="25"/>
          <w:szCs w:val="20"/>
          <w:lang w:eastAsia="it-IT"/>
        </w:rPr>
        <w:t>ione e il dovere di motivazione</w:t>
      </w:r>
    </w:p>
    <w:p w:rsidR="000C4DCD" w:rsidRPr="00B83170" w:rsidRDefault="000C4DCD" w:rsidP="00B83170">
      <w:pPr>
        <w:spacing w:after="0" w:line="260" w:lineRule="exact"/>
        <w:ind w:firstLine="284"/>
        <w:jc w:val="both"/>
        <w:rPr>
          <w:rFonts w:ascii="Arial" w:eastAsia="Times New Roman" w:hAnsi="Arial" w:cs="Arial"/>
          <w:color w:val="000000"/>
          <w:lang w:eastAsia="it-IT"/>
        </w:rPr>
      </w:pPr>
      <w:r w:rsidRPr="00B83170">
        <w:rPr>
          <w:rFonts w:ascii="Arial" w:eastAsia="Times New Roman" w:hAnsi="Arial" w:cs="Arial"/>
          <w:lang w:eastAsia="it-IT"/>
        </w:rPr>
        <w:t xml:space="preserve">Come noto, la </w:t>
      </w:r>
      <w:r w:rsidRPr="00B83170">
        <w:rPr>
          <w:rFonts w:ascii="Arial" w:eastAsia="Times New Roman" w:hAnsi="Arial" w:cs="Arial"/>
          <w:color w:val="000000"/>
          <w:lang w:eastAsia="it-IT"/>
        </w:rPr>
        <w:t>funzione di regolazione dei mercati è caratterizzata da una fase di partecipazione procedimentale che assume valenza sostanziale, e ciò per plurime ragioni.</w:t>
      </w:r>
    </w:p>
    <w:p w:rsidR="000C4DCD" w:rsidRPr="00B83170" w:rsidRDefault="000C4DCD" w:rsidP="00B83170">
      <w:pPr>
        <w:autoSpaceDE w:val="0"/>
        <w:autoSpaceDN w:val="0"/>
        <w:adjustRightInd w:val="0"/>
        <w:spacing w:after="0" w:line="260" w:lineRule="exact"/>
        <w:ind w:firstLine="284"/>
        <w:jc w:val="both"/>
        <w:rPr>
          <w:rFonts w:ascii="Arial" w:hAnsi="Arial" w:cs="Arial"/>
        </w:rPr>
      </w:pPr>
      <w:r w:rsidRPr="00B83170">
        <w:rPr>
          <w:rFonts w:ascii="Arial" w:eastAsia="Times New Roman" w:hAnsi="Arial" w:cs="Arial"/>
          <w:color w:val="000000"/>
          <w:lang w:eastAsia="it-IT"/>
        </w:rPr>
        <w:t xml:space="preserve">In primo luogo, </w:t>
      </w:r>
      <w:r w:rsidRPr="00B83170">
        <w:rPr>
          <w:rFonts w:ascii="Arial" w:hAnsi="Arial" w:cs="Arial"/>
        </w:rPr>
        <w:t xml:space="preserve">la giurisprudenza amministrativa ha ritenuto di poter superare il </w:t>
      </w:r>
      <w:r w:rsidRPr="00B83170">
        <w:rPr>
          <w:rFonts w:ascii="Arial" w:hAnsi="Arial" w:cs="Arial"/>
          <w:i/>
          <w:iCs/>
        </w:rPr>
        <w:t xml:space="preserve">deficit </w:t>
      </w:r>
      <w:r w:rsidRPr="00B83170">
        <w:rPr>
          <w:rFonts w:ascii="Arial" w:hAnsi="Arial" w:cs="Arial"/>
        </w:rPr>
        <w:t>di legalità</w:t>
      </w:r>
      <w:r w:rsidR="001059F2" w:rsidRPr="00B83170">
        <w:rPr>
          <w:rFonts w:ascii="Arial" w:hAnsi="Arial" w:cs="Arial"/>
        </w:rPr>
        <w:t xml:space="preserve"> </w:t>
      </w:r>
      <w:r w:rsidRPr="00B83170">
        <w:rPr>
          <w:rFonts w:ascii="Arial" w:hAnsi="Arial" w:cs="Arial"/>
        </w:rPr>
        <w:t xml:space="preserve">sostanziale e di legittimazione democratica, </w:t>
      </w:r>
      <w:r w:rsidR="001059F2" w:rsidRPr="00B83170">
        <w:rPr>
          <w:rFonts w:ascii="Arial" w:hAnsi="Arial" w:cs="Arial"/>
        </w:rPr>
        <w:t xml:space="preserve">non solo, come visto, potenziando il sindacato sull’eccesso di potere, ma anche </w:t>
      </w:r>
      <w:r w:rsidRPr="00B83170">
        <w:rPr>
          <w:rFonts w:ascii="Arial" w:hAnsi="Arial" w:cs="Arial"/>
        </w:rPr>
        <w:t>valorizzando gli aspetti relativi alla c.d. legalità</w:t>
      </w:r>
      <w:r w:rsidR="001059F2" w:rsidRPr="00B83170">
        <w:rPr>
          <w:rFonts w:ascii="Arial" w:hAnsi="Arial" w:cs="Arial"/>
        </w:rPr>
        <w:t xml:space="preserve"> </w:t>
      </w:r>
      <w:r w:rsidR="007C56C8" w:rsidRPr="00B83170">
        <w:rPr>
          <w:rFonts w:ascii="Arial" w:hAnsi="Arial" w:cs="Arial"/>
        </w:rPr>
        <w:t>procedimentale</w:t>
      </w:r>
      <w:r w:rsidR="001059F2" w:rsidRPr="00B83170">
        <w:rPr>
          <w:rFonts w:ascii="Arial" w:hAnsi="Arial" w:cs="Arial"/>
        </w:rPr>
        <w:t>.</w:t>
      </w:r>
    </w:p>
    <w:p w:rsidR="007C56C8" w:rsidRPr="00B83170" w:rsidRDefault="007C56C8" w:rsidP="00B83170">
      <w:pPr>
        <w:spacing w:after="0" w:line="260" w:lineRule="exact"/>
        <w:ind w:firstLine="284"/>
        <w:jc w:val="both"/>
        <w:rPr>
          <w:rFonts w:ascii="Arial" w:eastAsia="Times New Roman" w:hAnsi="Arial" w:cs="Arial"/>
          <w:color w:val="000000"/>
          <w:lang w:eastAsia="it-IT"/>
        </w:rPr>
      </w:pPr>
      <w:r w:rsidRPr="00B83170">
        <w:rPr>
          <w:rFonts w:ascii="Arial" w:eastAsia="Times New Roman" w:hAnsi="Arial" w:cs="Arial"/>
          <w:color w:val="000000"/>
          <w:lang w:eastAsia="it-IT"/>
        </w:rPr>
        <w:t xml:space="preserve">In tal senso la giurisprudenza ha infatti sancito che </w:t>
      </w:r>
      <w:r w:rsidRPr="00B83170">
        <w:rPr>
          <w:rFonts w:ascii="Arial" w:hAnsi="Arial" w:cs="Arial"/>
        </w:rPr>
        <w:t>«</w:t>
      </w:r>
      <w:r w:rsidRPr="00B83170">
        <w:rPr>
          <w:rFonts w:ascii="Arial" w:hAnsi="Arial" w:cs="Arial"/>
          <w:i/>
        </w:rPr>
        <w:t>la caduta del valore della legalità sostanziale sia compensata da un rafforzamento della legalità procedurale, sottoforma di garanzia del contraddittorio»</w:t>
      </w:r>
      <w:r w:rsidRPr="00B83170">
        <w:rPr>
          <w:rStyle w:val="Rimandonotaapidipagina"/>
          <w:rFonts w:ascii="Arial" w:hAnsi="Arial" w:cs="Arial"/>
        </w:rPr>
        <w:footnoteReference w:id="22"/>
      </w:r>
      <w:r w:rsidRPr="00B83170">
        <w:rPr>
          <w:rFonts w:ascii="Arial" w:hAnsi="Arial" w:cs="Arial"/>
        </w:rPr>
        <w:t>.</w:t>
      </w:r>
    </w:p>
    <w:p w:rsidR="000C4DCD" w:rsidRPr="00B83170" w:rsidRDefault="000C4DCD" w:rsidP="00B83170">
      <w:pPr>
        <w:spacing w:after="0" w:line="260" w:lineRule="exact"/>
        <w:ind w:firstLine="284"/>
        <w:jc w:val="both"/>
        <w:rPr>
          <w:rFonts w:ascii="Arial" w:eastAsia="Times New Roman" w:hAnsi="Arial" w:cs="Arial"/>
          <w:color w:val="000000"/>
          <w:lang w:eastAsia="it-IT"/>
        </w:rPr>
      </w:pPr>
      <w:r w:rsidRPr="00B83170">
        <w:rPr>
          <w:rFonts w:ascii="Arial" w:eastAsia="Times New Roman" w:hAnsi="Arial" w:cs="Arial"/>
          <w:color w:val="000000"/>
          <w:lang w:eastAsia="it-IT"/>
        </w:rPr>
        <w:t>Da un’altra parte la partecipazione delle imprese consente di recuperare la democraticità dell’Autorità dal basso, prevedendo appunto una condivisione della decisione coi regolati. In tal senso la partecipazione diventa dunque titolo di legittimazione dell’agire di un’Amministrazione di fatto slegata dal circuito democratico</w:t>
      </w:r>
      <w:r w:rsidRPr="00B83170">
        <w:rPr>
          <w:rStyle w:val="Rimandonotaapidipagina"/>
          <w:rFonts w:ascii="Arial" w:eastAsia="Times New Roman" w:hAnsi="Arial" w:cs="Arial"/>
          <w:color w:val="000000"/>
          <w:lang w:eastAsia="it-IT"/>
        </w:rPr>
        <w:footnoteReference w:id="23"/>
      </w:r>
      <w:r w:rsidRPr="00B83170">
        <w:rPr>
          <w:rFonts w:ascii="Arial" w:eastAsia="Times New Roman" w:hAnsi="Arial" w:cs="Arial"/>
          <w:color w:val="000000"/>
          <w:lang w:eastAsia="it-IT"/>
        </w:rPr>
        <w:t>.</w:t>
      </w:r>
    </w:p>
    <w:p w:rsidR="000C4DCD" w:rsidRPr="00B83170" w:rsidRDefault="000C4DCD" w:rsidP="00B83170">
      <w:pPr>
        <w:spacing w:after="0" w:line="260" w:lineRule="exact"/>
        <w:ind w:firstLine="284"/>
        <w:jc w:val="both"/>
        <w:rPr>
          <w:rFonts w:ascii="Arial" w:eastAsia="Times New Roman" w:hAnsi="Arial" w:cs="Arial"/>
          <w:color w:val="000000"/>
          <w:lang w:eastAsia="it-IT"/>
        </w:rPr>
      </w:pPr>
      <w:r w:rsidRPr="00B83170">
        <w:rPr>
          <w:rFonts w:ascii="Arial" w:eastAsia="Times New Roman" w:hAnsi="Arial" w:cs="Arial"/>
          <w:color w:val="000000"/>
          <w:lang w:eastAsia="it-IT"/>
        </w:rPr>
        <w:t>In terzo luogo, l’importanza specifica della partecipazione nel settore deriva dalla circostanza che le informazioni necessarie per le decisioni tecniche sono spesso possedute solo dagli operatori; vieppiù una visione sull’impatto della regolazione può aversi solamente una volta consultato il mercato stesso</w:t>
      </w:r>
      <w:r w:rsidRPr="00B83170">
        <w:rPr>
          <w:rStyle w:val="Rimandonotaapidipagina"/>
          <w:rFonts w:ascii="Arial" w:eastAsia="Times New Roman" w:hAnsi="Arial" w:cs="Arial"/>
          <w:color w:val="000000"/>
          <w:lang w:eastAsia="it-IT"/>
        </w:rPr>
        <w:footnoteReference w:id="24"/>
      </w:r>
      <w:r w:rsidRPr="00B83170">
        <w:rPr>
          <w:rFonts w:ascii="Arial" w:eastAsia="Times New Roman" w:hAnsi="Arial" w:cs="Arial"/>
          <w:color w:val="000000"/>
          <w:lang w:eastAsia="it-IT"/>
        </w:rPr>
        <w:t xml:space="preserve">. </w:t>
      </w:r>
    </w:p>
    <w:p w:rsidR="000C4DCD" w:rsidRPr="00B83170" w:rsidRDefault="000C4DCD" w:rsidP="00B83170">
      <w:pPr>
        <w:spacing w:after="0" w:line="260" w:lineRule="exact"/>
        <w:ind w:firstLine="284"/>
        <w:jc w:val="both"/>
        <w:rPr>
          <w:rFonts w:ascii="Arial" w:eastAsia="Times New Roman" w:hAnsi="Arial" w:cs="Arial"/>
          <w:color w:val="000000"/>
          <w:lang w:eastAsia="it-IT"/>
        </w:rPr>
      </w:pPr>
      <w:r w:rsidRPr="00B83170">
        <w:rPr>
          <w:rFonts w:ascii="Arial" w:eastAsia="Times New Roman" w:hAnsi="Arial" w:cs="Arial"/>
          <w:color w:val="000000"/>
          <w:lang w:eastAsia="it-IT"/>
        </w:rPr>
        <w:t>Tuttavia, per av</w:t>
      </w:r>
      <w:r w:rsidR="00C462FE" w:rsidRPr="00B83170">
        <w:rPr>
          <w:rFonts w:ascii="Arial" w:eastAsia="Times New Roman" w:hAnsi="Arial" w:cs="Arial"/>
          <w:color w:val="000000"/>
          <w:lang w:eastAsia="it-IT"/>
        </w:rPr>
        <w:t xml:space="preserve">ere una </w:t>
      </w:r>
      <w:r w:rsidR="005100B4" w:rsidRPr="00B83170">
        <w:rPr>
          <w:rFonts w:ascii="Arial" w:eastAsia="Times New Roman" w:hAnsi="Arial" w:cs="Arial"/>
          <w:color w:val="000000"/>
          <w:lang w:eastAsia="it-IT"/>
        </w:rPr>
        <w:t>prospettiva</w:t>
      </w:r>
      <w:r w:rsidR="00C462FE" w:rsidRPr="00B83170">
        <w:rPr>
          <w:rFonts w:ascii="Arial" w:eastAsia="Times New Roman" w:hAnsi="Arial" w:cs="Arial"/>
          <w:color w:val="000000"/>
          <w:lang w:eastAsia="it-IT"/>
        </w:rPr>
        <w:t xml:space="preserve"> dell’effettiva consistenza </w:t>
      </w:r>
      <w:r w:rsidRPr="00B83170">
        <w:rPr>
          <w:rFonts w:ascii="Arial" w:eastAsia="Times New Roman" w:hAnsi="Arial" w:cs="Arial"/>
          <w:color w:val="000000"/>
          <w:lang w:eastAsia="it-IT"/>
        </w:rPr>
        <w:t xml:space="preserve">che assume la partecipazione nel sistema regolatorio, al di là delle dichiarazioni di principio, </w:t>
      </w:r>
      <w:r w:rsidRPr="00B83170">
        <w:rPr>
          <w:rFonts w:ascii="Arial" w:eastAsia="Times New Roman" w:hAnsi="Arial" w:cs="Arial"/>
          <w:color w:val="000000"/>
          <w:lang w:eastAsia="it-IT"/>
        </w:rPr>
        <w:lastRenderedPageBreak/>
        <w:t>occorre analizzare come viene declinata tale dichiarata centralità del contraddittorio.</w:t>
      </w:r>
    </w:p>
    <w:p w:rsidR="000C4DCD" w:rsidRPr="00B83170" w:rsidRDefault="000C4DCD" w:rsidP="00B83170">
      <w:pPr>
        <w:spacing w:after="0" w:line="260" w:lineRule="exact"/>
        <w:ind w:firstLine="284"/>
        <w:jc w:val="both"/>
        <w:rPr>
          <w:rFonts w:ascii="Arial" w:eastAsia="Times New Roman" w:hAnsi="Arial" w:cs="Arial"/>
          <w:color w:val="000000"/>
          <w:lang w:eastAsia="it-IT"/>
        </w:rPr>
      </w:pPr>
      <w:r w:rsidRPr="00B83170">
        <w:rPr>
          <w:rFonts w:ascii="Arial" w:eastAsia="Times New Roman" w:hAnsi="Arial" w:cs="Arial"/>
          <w:color w:val="000000"/>
          <w:lang w:eastAsia="it-IT"/>
        </w:rPr>
        <w:t>A tal proposito, può osservarsi innanzitutto che il principio in parola può assumere una effettiva valenza sostanziale solo ove la doglianza della mancata o insufficiente attivazione delle garanzie procedimentali non venga assorbita in caso di accoglimento di motivo attinente alla erroneità della scelta tecnica. Invero la ridefinizione del criterio tecnico in base alle coordinate fissate dal giudice necessita in ogni caso, e a maggior ragione, dell’apporto partecipativo all’origine pretermesso.</w:t>
      </w:r>
    </w:p>
    <w:p w:rsidR="000C4DCD" w:rsidRPr="00B83170" w:rsidRDefault="000C4DCD" w:rsidP="00B83170">
      <w:pPr>
        <w:spacing w:after="0" w:line="260" w:lineRule="exact"/>
        <w:ind w:firstLine="284"/>
        <w:jc w:val="both"/>
        <w:rPr>
          <w:rFonts w:ascii="Arial" w:eastAsia="Times New Roman" w:hAnsi="Arial" w:cs="Arial"/>
          <w:color w:val="000000"/>
          <w:lang w:eastAsia="it-IT"/>
        </w:rPr>
      </w:pPr>
      <w:r w:rsidRPr="00B83170">
        <w:rPr>
          <w:rFonts w:ascii="Arial" w:eastAsia="Times New Roman" w:hAnsi="Arial" w:cs="Arial"/>
          <w:color w:val="000000"/>
          <w:lang w:eastAsia="it-IT"/>
        </w:rPr>
        <w:t xml:space="preserve">Tale ragionamento trova in effetti riscontro positivo in alcuni recenti pronunciamenti, ove risulta l’accoglimento, accanto al motivo di censura della scelta tecnica, del motivo sulla violazione del principio del contraddittorio procedimentale. </w:t>
      </w:r>
      <w:r w:rsidR="00C462FE" w:rsidRPr="00B83170">
        <w:rPr>
          <w:rFonts w:ascii="Arial" w:eastAsia="Times New Roman" w:hAnsi="Arial" w:cs="Arial"/>
          <w:color w:val="000000"/>
          <w:lang w:eastAsia="it-IT"/>
        </w:rPr>
        <w:t>In particolare, viene</w:t>
      </w:r>
      <w:r w:rsidRPr="00B83170">
        <w:rPr>
          <w:rFonts w:ascii="Arial" w:eastAsia="Times New Roman" w:hAnsi="Arial" w:cs="Arial"/>
          <w:color w:val="000000"/>
          <w:lang w:eastAsia="it-IT"/>
        </w:rPr>
        <w:t xml:space="preserve"> sottolineata l’importanza della consultazione, non solo con riferimento alla definizione della regola tecnica, ma anche, in un ottica di deflazione del contenzioso, relativamente alla effettiva sussistenza di fatti  posti dall’Autorità a base delle proprie decisioni, oppure relativamente all’interpretazione di norme</w:t>
      </w:r>
      <w:r w:rsidRPr="00B83170">
        <w:rPr>
          <w:rStyle w:val="Rimandonotaapidipagina"/>
          <w:rFonts w:ascii="Arial" w:eastAsia="Times New Roman" w:hAnsi="Arial" w:cs="Arial"/>
          <w:color w:val="000000"/>
          <w:lang w:eastAsia="it-IT"/>
        </w:rPr>
        <w:footnoteReference w:id="25"/>
      </w:r>
      <w:r w:rsidRPr="00B83170">
        <w:rPr>
          <w:rFonts w:ascii="Arial" w:eastAsia="Times New Roman" w:hAnsi="Arial" w:cs="Arial"/>
          <w:color w:val="000000"/>
          <w:lang w:eastAsia="it-IT"/>
        </w:rPr>
        <w:t>.</w:t>
      </w:r>
    </w:p>
    <w:p w:rsidR="000C4DCD" w:rsidRPr="00B83170" w:rsidRDefault="000C4DCD" w:rsidP="00B83170">
      <w:pPr>
        <w:spacing w:after="0" w:line="260" w:lineRule="exact"/>
        <w:ind w:firstLine="284"/>
        <w:jc w:val="both"/>
        <w:rPr>
          <w:rFonts w:ascii="Arial" w:eastAsia="Times New Roman" w:hAnsi="Arial" w:cs="Arial"/>
          <w:color w:val="000000"/>
          <w:lang w:eastAsia="it-IT"/>
        </w:rPr>
      </w:pPr>
      <w:r w:rsidRPr="00B83170">
        <w:rPr>
          <w:rFonts w:ascii="Arial" w:eastAsia="Times New Roman" w:hAnsi="Arial" w:cs="Arial"/>
          <w:color w:val="000000"/>
          <w:lang w:eastAsia="it-IT"/>
        </w:rPr>
        <w:t>In altri casi, il motivo risulta invece assorbito. Ad un’attenta osservazione si tratta tuttavia di casi in cui l’accoglimento del motivo di ordine sostanziale ha comportato di fatto l’esaurimento  della discrezionalità  nella successiva attività dell’Autorità</w:t>
      </w:r>
      <w:r w:rsidRPr="00B83170">
        <w:rPr>
          <w:rStyle w:val="Rimandonotaapidipagina"/>
          <w:rFonts w:ascii="Arial" w:eastAsia="Times New Roman" w:hAnsi="Arial" w:cs="Arial"/>
          <w:color w:val="000000"/>
          <w:lang w:eastAsia="it-IT"/>
        </w:rPr>
        <w:footnoteReference w:id="26"/>
      </w:r>
      <w:r w:rsidRPr="00B83170">
        <w:rPr>
          <w:rFonts w:ascii="Arial" w:eastAsia="Times New Roman" w:hAnsi="Arial" w:cs="Arial"/>
          <w:color w:val="000000"/>
          <w:lang w:eastAsia="it-IT"/>
        </w:rPr>
        <w:t>.</w:t>
      </w:r>
    </w:p>
    <w:p w:rsidR="000C4DCD" w:rsidRPr="00B83170" w:rsidRDefault="000C4DCD" w:rsidP="00B83170">
      <w:pPr>
        <w:spacing w:after="0" w:line="260" w:lineRule="exact"/>
        <w:ind w:firstLine="284"/>
        <w:jc w:val="both"/>
        <w:rPr>
          <w:rFonts w:ascii="Arial" w:eastAsia="Times New Roman" w:hAnsi="Arial" w:cs="Arial"/>
          <w:color w:val="000000"/>
          <w:lang w:eastAsia="it-IT"/>
        </w:rPr>
      </w:pPr>
      <w:r w:rsidRPr="00B83170">
        <w:rPr>
          <w:rFonts w:ascii="Arial" w:eastAsia="Times New Roman" w:hAnsi="Arial" w:cs="Arial"/>
          <w:color w:val="000000"/>
          <w:lang w:eastAsia="it-IT"/>
        </w:rPr>
        <w:t>In altri casi analoghi, tuttavia il G.A. non mostra di adottare la medesima soluzione; nonostante l’accoglimento del motivo non elimini la discrezionalità successiva dell’Autorità, risulta infatti assorbito il motivo relativo alla violazione del contraddittorio</w:t>
      </w:r>
      <w:r w:rsidRPr="00B83170">
        <w:rPr>
          <w:rStyle w:val="Rimandonotaapidipagina"/>
          <w:rFonts w:ascii="Arial" w:eastAsia="Times New Roman" w:hAnsi="Arial" w:cs="Arial"/>
          <w:color w:val="000000"/>
          <w:lang w:eastAsia="it-IT"/>
        </w:rPr>
        <w:footnoteReference w:id="27"/>
      </w:r>
      <w:r w:rsidRPr="00B83170">
        <w:rPr>
          <w:rFonts w:ascii="Arial" w:eastAsia="Times New Roman" w:hAnsi="Arial" w:cs="Arial"/>
          <w:color w:val="000000"/>
          <w:lang w:eastAsia="it-IT"/>
        </w:rPr>
        <w:t>.</w:t>
      </w:r>
    </w:p>
    <w:p w:rsidR="000C4DCD" w:rsidRPr="00B83170" w:rsidRDefault="000C4DCD" w:rsidP="00B83170">
      <w:pPr>
        <w:spacing w:after="0" w:line="260" w:lineRule="exact"/>
        <w:ind w:firstLine="284"/>
        <w:jc w:val="both"/>
        <w:rPr>
          <w:rFonts w:ascii="Arial" w:eastAsia="Times New Roman" w:hAnsi="Arial" w:cs="Arial"/>
          <w:lang w:eastAsia="it-IT"/>
        </w:rPr>
      </w:pPr>
      <w:r w:rsidRPr="00B83170">
        <w:rPr>
          <w:rFonts w:ascii="Arial" w:eastAsia="Times New Roman" w:hAnsi="Arial" w:cs="Arial"/>
          <w:color w:val="000000"/>
          <w:lang w:eastAsia="it-IT"/>
        </w:rPr>
        <w:t xml:space="preserve">Il principio del contraddittorio potrebbe altresì ricevere spessore nel caso in cui si riconosca un onere di motivazione rafforzata con riferimento alle osservazioni presentate dagli operatori; tuttavia la giurisprudenza </w:t>
      </w:r>
      <w:r w:rsidR="001059F2" w:rsidRPr="00B83170">
        <w:rPr>
          <w:rFonts w:ascii="Arial" w:eastAsia="Times New Roman" w:hAnsi="Arial" w:cs="Arial"/>
          <w:color w:val="000000"/>
          <w:lang w:eastAsia="it-IT"/>
        </w:rPr>
        <w:t>continua a non ritenere</w:t>
      </w:r>
      <w:r w:rsidRPr="00B83170">
        <w:rPr>
          <w:rFonts w:ascii="Arial" w:eastAsia="Times New Roman" w:hAnsi="Arial" w:cs="Arial"/>
          <w:color w:val="000000"/>
          <w:lang w:eastAsia="it-IT"/>
        </w:rPr>
        <w:t xml:space="preserve"> sussistenti particolari obblighi motivazionali in capo all’Autorità, considerando sufficiente che le osservazioni risultino prese in considerazione ai fini della </w:t>
      </w:r>
      <w:r w:rsidRPr="00B83170">
        <w:rPr>
          <w:rFonts w:ascii="Arial" w:eastAsia="Times New Roman" w:hAnsi="Arial" w:cs="Arial"/>
          <w:lang w:eastAsia="it-IT"/>
        </w:rPr>
        <w:t>deliberazione</w:t>
      </w:r>
      <w:r w:rsidRPr="00B83170">
        <w:rPr>
          <w:rStyle w:val="Rimandonotaapidipagina"/>
          <w:rFonts w:ascii="Arial" w:eastAsia="Times New Roman" w:hAnsi="Arial" w:cs="Arial"/>
          <w:lang w:eastAsia="it-IT"/>
        </w:rPr>
        <w:footnoteReference w:id="28"/>
      </w:r>
      <w:r w:rsidRPr="00B83170">
        <w:rPr>
          <w:rFonts w:ascii="Arial" w:eastAsia="Times New Roman" w:hAnsi="Arial" w:cs="Arial"/>
          <w:lang w:eastAsia="it-IT"/>
        </w:rPr>
        <w:t>.</w:t>
      </w:r>
    </w:p>
    <w:p w:rsidR="000C4DCD" w:rsidRPr="00B83170" w:rsidRDefault="007C56C8" w:rsidP="00B83170">
      <w:pPr>
        <w:spacing w:after="0" w:line="260" w:lineRule="exact"/>
        <w:ind w:firstLine="284"/>
        <w:jc w:val="both"/>
        <w:rPr>
          <w:rFonts w:ascii="Arial" w:eastAsia="Times New Roman" w:hAnsi="Arial" w:cs="Arial"/>
          <w:lang w:eastAsia="it-IT"/>
        </w:rPr>
      </w:pPr>
      <w:r w:rsidRPr="00B83170">
        <w:rPr>
          <w:rFonts w:ascii="Arial" w:eastAsia="Times New Roman" w:hAnsi="Arial" w:cs="Arial"/>
          <w:lang w:eastAsia="it-IT"/>
        </w:rPr>
        <w:t>L’assenza di un onere di motivazione rafforzata viene affermata anche con riferimento all’adozione di provvedimenti ordinatori</w:t>
      </w:r>
      <w:r w:rsidR="000C4DCD" w:rsidRPr="00B83170">
        <w:rPr>
          <w:rStyle w:val="Rimandonotaapidipagina"/>
          <w:rFonts w:ascii="Arial" w:eastAsia="Times New Roman" w:hAnsi="Arial" w:cs="Arial"/>
          <w:lang w:eastAsia="it-IT"/>
        </w:rPr>
        <w:footnoteReference w:id="29"/>
      </w:r>
      <w:r w:rsidR="000C4DCD" w:rsidRPr="00B83170">
        <w:rPr>
          <w:rFonts w:ascii="Arial" w:eastAsia="Times New Roman" w:hAnsi="Arial" w:cs="Arial"/>
          <w:lang w:eastAsia="it-IT"/>
        </w:rPr>
        <w:t xml:space="preserve"> di cui all’art.</w:t>
      </w:r>
      <w:r w:rsidR="00834466" w:rsidRPr="00B83170">
        <w:rPr>
          <w:rFonts w:ascii="Arial" w:eastAsia="Times New Roman" w:hAnsi="Arial" w:cs="Arial"/>
          <w:lang w:eastAsia="it-IT"/>
        </w:rPr>
        <w:t xml:space="preserve"> 2, comma </w:t>
      </w:r>
      <w:r w:rsidR="00834466" w:rsidRPr="00B83170">
        <w:rPr>
          <w:rFonts w:ascii="Arial" w:eastAsia="Times New Roman" w:hAnsi="Arial" w:cs="Arial"/>
          <w:lang w:eastAsia="it-IT"/>
        </w:rPr>
        <w:lastRenderedPageBreak/>
        <w:t xml:space="preserve">20, lett. d), </w:t>
      </w:r>
      <w:r w:rsidR="00CC6CE3">
        <w:rPr>
          <w:rFonts w:ascii="Arial" w:eastAsia="Times New Roman" w:hAnsi="Arial" w:cs="Arial"/>
          <w:lang w:eastAsia="it-IT"/>
        </w:rPr>
        <w:t>l</w:t>
      </w:r>
      <w:r w:rsidR="00834466" w:rsidRPr="00B83170">
        <w:rPr>
          <w:rFonts w:ascii="Arial" w:eastAsia="Times New Roman" w:hAnsi="Arial" w:cs="Arial"/>
          <w:lang w:eastAsia="it-IT"/>
        </w:rPr>
        <w:t xml:space="preserve">. </w:t>
      </w:r>
      <w:r w:rsidR="00CC6CE3">
        <w:rPr>
          <w:rFonts w:ascii="Arial" w:eastAsia="Times New Roman" w:hAnsi="Arial" w:cs="Arial"/>
          <w:lang w:eastAsia="it-IT"/>
        </w:rPr>
        <w:t xml:space="preserve">n. </w:t>
      </w:r>
      <w:r w:rsidR="00834466" w:rsidRPr="00B83170">
        <w:rPr>
          <w:rFonts w:ascii="Arial" w:eastAsia="Times New Roman" w:hAnsi="Arial" w:cs="Arial"/>
          <w:lang w:eastAsia="it-IT"/>
        </w:rPr>
        <w:t>481/9</w:t>
      </w:r>
      <w:r w:rsidR="000C4DCD" w:rsidRPr="00B83170">
        <w:rPr>
          <w:rFonts w:ascii="Arial" w:eastAsia="Times New Roman" w:hAnsi="Arial" w:cs="Arial"/>
          <w:lang w:eastAsia="it-IT"/>
        </w:rPr>
        <w:t>5</w:t>
      </w:r>
      <w:r w:rsidR="000C4DCD" w:rsidRPr="00B83170">
        <w:rPr>
          <w:rStyle w:val="Rimandonotaapidipagina"/>
          <w:rFonts w:ascii="Arial" w:eastAsia="Times New Roman" w:hAnsi="Arial" w:cs="Arial"/>
          <w:lang w:eastAsia="it-IT"/>
        </w:rPr>
        <w:footnoteReference w:id="30"/>
      </w:r>
      <w:r w:rsidRPr="00B83170">
        <w:rPr>
          <w:rFonts w:ascii="Arial" w:eastAsia="Times New Roman" w:hAnsi="Arial" w:cs="Arial"/>
          <w:lang w:eastAsia="it-IT"/>
        </w:rPr>
        <w:t xml:space="preserve">, e ciò sulla base del fatto che anche questi </w:t>
      </w:r>
      <w:r w:rsidR="00655881" w:rsidRPr="00B83170">
        <w:rPr>
          <w:rFonts w:ascii="Arial" w:eastAsia="Times New Roman" w:hAnsi="Arial" w:cs="Arial"/>
          <w:lang w:eastAsia="it-IT"/>
        </w:rPr>
        <w:t xml:space="preserve">ultimi </w:t>
      </w:r>
      <w:r w:rsidRPr="00B83170">
        <w:rPr>
          <w:rFonts w:ascii="Arial" w:eastAsia="Times New Roman" w:hAnsi="Arial" w:cs="Arial"/>
          <w:lang w:eastAsia="it-IT"/>
        </w:rPr>
        <w:t>sarebbero «</w:t>
      </w:r>
      <w:r w:rsidRPr="00B83170">
        <w:rPr>
          <w:rFonts w:ascii="Arial" w:eastAsia="Times New Roman" w:hAnsi="Arial" w:cs="Arial"/>
          <w:i/>
          <w:lang w:eastAsia="it-IT"/>
        </w:rPr>
        <w:t xml:space="preserve"> pur sempre atti di regolazione</w:t>
      </w:r>
      <w:r w:rsidRPr="00B83170">
        <w:rPr>
          <w:rFonts w:ascii="Arial" w:eastAsia="Times New Roman" w:hAnsi="Arial" w:cs="Arial"/>
          <w:lang w:eastAsia="it-IT"/>
        </w:rPr>
        <w:t>».</w:t>
      </w:r>
    </w:p>
    <w:p w:rsidR="000C4DCD" w:rsidRPr="00B83170" w:rsidRDefault="000C4DCD" w:rsidP="00B83170">
      <w:pPr>
        <w:spacing w:after="0" w:line="260" w:lineRule="exact"/>
        <w:ind w:firstLine="284"/>
        <w:jc w:val="both"/>
        <w:rPr>
          <w:rFonts w:ascii="Arial" w:eastAsia="Times New Roman" w:hAnsi="Arial" w:cs="Arial"/>
          <w:lang w:eastAsia="it-IT"/>
        </w:rPr>
      </w:pPr>
      <w:r w:rsidRPr="00B83170">
        <w:rPr>
          <w:rFonts w:ascii="Arial" w:eastAsia="Times New Roman" w:hAnsi="Arial" w:cs="Arial"/>
          <w:lang w:eastAsia="it-IT"/>
        </w:rPr>
        <w:t>La maggiore pregnanza del principio del contraddittorio si manifesta tuttavia sotto altro versante.</w:t>
      </w:r>
    </w:p>
    <w:p w:rsidR="000C4DCD" w:rsidRPr="00B83170" w:rsidRDefault="000C4DCD" w:rsidP="00B83170">
      <w:pPr>
        <w:spacing w:after="0" w:line="260" w:lineRule="exact"/>
        <w:ind w:firstLine="284"/>
        <w:jc w:val="both"/>
        <w:rPr>
          <w:rFonts w:ascii="Arial" w:eastAsia="Times New Roman" w:hAnsi="Arial" w:cs="Arial"/>
          <w:lang w:eastAsia="it-IT"/>
        </w:rPr>
      </w:pPr>
      <w:r w:rsidRPr="00B83170">
        <w:rPr>
          <w:rFonts w:ascii="Arial" w:eastAsia="Times New Roman" w:hAnsi="Arial" w:cs="Arial"/>
          <w:lang w:eastAsia="it-IT"/>
        </w:rPr>
        <w:t xml:space="preserve">Viene infatti ritenuto che la centralità del principio del contraddittorio debba tradursi in </w:t>
      </w:r>
      <w:r w:rsidR="007C56C8" w:rsidRPr="00B83170">
        <w:rPr>
          <w:rFonts w:ascii="Arial" w:eastAsia="Times New Roman" w:hAnsi="Arial" w:cs="Arial"/>
          <w:lang w:eastAsia="it-IT"/>
        </w:rPr>
        <w:t xml:space="preserve">un criterio di </w:t>
      </w:r>
      <w:r w:rsidRPr="00B83170">
        <w:rPr>
          <w:rFonts w:ascii="Arial" w:eastAsia="Times New Roman" w:hAnsi="Arial" w:cs="Arial"/>
          <w:lang w:eastAsia="it-IT"/>
        </w:rPr>
        <w:t>interpretazione degli istituti partecipativi che</w:t>
      </w:r>
      <w:r w:rsidR="007C56C8" w:rsidRPr="00B83170">
        <w:rPr>
          <w:rFonts w:ascii="Arial" w:eastAsia="Times New Roman" w:hAnsi="Arial" w:cs="Arial"/>
          <w:lang w:eastAsia="it-IT"/>
        </w:rPr>
        <w:t>, nel dubbio,</w:t>
      </w:r>
      <w:r w:rsidRPr="00B83170">
        <w:rPr>
          <w:rFonts w:ascii="Arial" w:eastAsia="Times New Roman" w:hAnsi="Arial" w:cs="Arial"/>
          <w:lang w:eastAsia="it-IT"/>
        </w:rPr>
        <w:t xml:space="preserve"> garantisca la più ampia partecipazione possibile per le imprese regolate.</w:t>
      </w:r>
    </w:p>
    <w:p w:rsidR="000C4DCD" w:rsidRPr="00B83170" w:rsidRDefault="000C4DCD" w:rsidP="00B83170">
      <w:pPr>
        <w:spacing w:after="0" w:line="260" w:lineRule="exact"/>
        <w:ind w:firstLine="284"/>
        <w:jc w:val="both"/>
        <w:rPr>
          <w:rFonts w:ascii="Arial" w:eastAsia="Times New Roman" w:hAnsi="Arial" w:cs="Arial"/>
          <w:lang w:eastAsia="it-IT"/>
        </w:rPr>
      </w:pPr>
      <w:r w:rsidRPr="00B83170">
        <w:rPr>
          <w:rFonts w:ascii="Arial" w:eastAsia="Times New Roman" w:hAnsi="Arial" w:cs="Arial"/>
          <w:lang w:eastAsia="it-IT"/>
        </w:rPr>
        <w:t>In tal senso è stata ritenuta illegittima la delibera preceduta da un documento di consultazione che «</w:t>
      </w:r>
      <w:r w:rsidRPr="00B83170">
        <w:rPr>
          <w:rFonts w:ascii="Arial" w:eastAsia="Times New Roman" w:hAnsi="Arial" w:cs="Arial"/>
          <w:i/>
          <w:lang w:eastAsia="it-IT"/>
        </w:rPr>
        <w:t>avverte solo dell’intenzione dell’Autorità di mutare il criterio ma nulla dice in ordine al diverso metodo di calcolo e che alla compiuta meditazione da parte dei soggetti interessati è necessaria la previa comunicazione dell’argomento da trattare, non sostituibile con il semplice svolgimento del confronto</w:t>
      </w:r>
      <w:r w:rsidRPr="00B83170">
        <w:rPr>
          <w:rStyle w:val="Rimandonotaapidipagina"/>
          <w:rFonts w:ascii="Arial" w:eastAsia="Times New Roman" w:hAnsi="Arial" w:cs="Arial"/>
          <w:i/>
          <w:lang w:eastAsia="it-IT"/>
        </w:rPr>
        <w:footnoteReference w:id="31"/>
      </w:r>
      <w:r w:rsidRPr="00B83170">
        <w:rPr>
          <w:rFonts w:ascii="Arial" w:eastAsia="Times New Roman" w:hAnsi="Arial" w:cs="Arial"/>
          <w:lang w:eastAsia="it-IT"/>
        </w:rPr>
        <w:t>».</w:t>
      </w:r>
    </w:p>
    <w:p w:rsidR="003E435B" w:rsidRDefault="003E435B" w:rsidP="00B83170">
      <w:pPr>
        <w:spacing w:after="0" w:line="260" w:lineRule="exact"/>
        <w:ind w:firstLine="284"/>
        <w:jc w:val="both"/>
        <w:rPr>
          <w:rFonts w:ascii="Arial" w:eastAsia="Times New Roman" w:hAnsi="Arial" w:cs="Arial"/>
          <w:lang w:eastAsia="it-IT"/>
        </w:rPr>
      </w:pPr>
      <w:r w:rsidRPr="00B83170">
        <w:rPr>
          <w:rFonts w:ascii="Arial" w:eastAsia="Times New Roman" w:hAnsi="Arial" w:cs="Arial"/>
          <w:lang w:eastAsia="it-IT"/>
        </w:rPr>
        <w:t>Non basta dunque che le imprese abbiano partecipato, ma è necessario che il progetto di deliberazione sia reso noto in dettaglio per una proficua consultazione.</w:t>
      </w:r>
    </w:p>
    <w:p w:rsidR="0030660B" w:rsidRPr="00B83170" w:rsidRDefault="0030660B" w:rsidP="00B83170">
      <w:pPr>
        <w:spacing w:after="0" w:line="260" w:lineRule="exact"/>
        <w:ind w:firstLine="284"/>
        <w:jc w:val="both"/>
        <w:rPr>
          <w:rFonts w:ascii="Arial" w:eastAsia="Times New Roman" w:hAnsi="Arial" w:cs="Arial"/>
          <w:lang w:eastAsia="it-IT"/>
        </w:rPr>
      </w:pPr>
    </w:p>
    <w:p w:rsidR="003D2681" w:rsidRDefault="003E435B" w:rsidP="004C214D">
      <w:pPr>
        <w:pStyle w:val="Paragrafoelenco"/>
        <w:numPr>
          <w:ilvl w:val="0"/>
          <w:numId w:val="3"/>
        </w:numPr>
        <w:spacing w:before="640" w:after="384" w:line="290" w:lineRule="exact"/>
        <w:ind w:left="-40" w:hanging="357"/>
        <w:jc w:val="both"/>
        <w:rPr>
          <w:rFonts w:ascii="Arial" w:eastAsia="Times New Roman" w:hAnsi="Arial"/>
          <w:b/>
          <w:color w:val="974726"/>
          <w:sz w:val="25"/>
          <w:szCs w:val="20"/>
          <w:lang w:eastAsia="it-IT"/>
        </w:rPr>
      </w:pPr>
      <w:r w:rsidRPr="0030660B">
        <w:rPr>
          <w:rFonts w:ascii="Arial" w:eastAsia="Times New Roman" w:hAnsi="Arial"/>
          <w:b/>
          <w:color w:val="974726"/>
          <w:sz w:val="25"/>
          <w:szCs w:val="20"/>
          <w:lang w:eastAsia="it-IT"/>
        </w:rPr>
        <w:t>Il riflesso dell</w:t>
      </w:r>
      <w:r w:rsidR="003D2681" w:rsidRPr="0030660B">
        <w:rPr>
          <w:rFonts w:ascii="Arial" w:eastAsia="Times New Roman" w:hAnsi="Arial"/>
          <w:b/>
          <w:color w:val="974726"/>
          <w:sz w:val="25"/>
          <w:szCs w:val="20"/>
          <w:lang w:eastAsia="it-IT"/>
        </w:rPr>
        <w:t>a specialità del potere regol</w:t>
      </w:r>
      <w:r w:rsidR="004C214D">
        <w:rPr>
          <w:rFonts w:ascii="Arial" w:eastAsia="Times New Roman" w:hAnsi="Arial"/>
          <w:b/>
          <w:color w:val="974726"/>
          <w:sz w:val="25"/>
          <w:szCs w:val="20"/>
          <w:lang w:eastAsia="it-IT"/>
        </w:rPr>
        <w:t>atorio sul potere sanzionatorio</w:t>
      </w:r>
    </w:p>
    <w:p w:rsidR="0030660B" w:rsidRPr="0030660B" w:rsidRDefault="0030660B" w:rsidP="0030660B">
      <w:pPr>
        <w:pStyle w:val="Paragrafoelenco"/>
        <w:spacing w:after="0" w:line="260" w:lineRule="exact"/>
        <w:ind w:left="-40"/>
        <w:jc w:val="both"/>
        <w:rPr>
          <w:rFonts w:ascii="Arial" w:eastAsia="Times New Roman" w:hAnsi="Arial"/>
          <w:b/>
          <w:color w:val="974726"/>
          <w:sz w:val="25"/>
          <w:szCs w:val="20"/>
          <w:lang w:eastAsia="it-IT"/>
        </w:rPr>
      </w:pPr>
    </w:p>
    <w:p w:rsidR="00C27E36" w:rsidRPr="00B83170" w:rsidRDefault="00A532CB" w:rsidP="00B83170">
      <w:pPr>
        <w:spacing w:after="0" w:line="260" w:lineRule="exact"/>
        <w:ind w:firstLine="284"/>
        <w:jc w:val="both"/>
        <w:rPr>
          <w:rFonts w:ascii="Arial" w:hAnsi="Arial" w:cs="Arial"/>
        </w:rPr>
      </w:pPr>
      <w:r w:rsidRPr="00B83170">
        <w:rPr>
          <w:rFonts w:ascii="Arial" w:hAnsi="Arial" w:cs="Arial"/>
        </w:rPr>
        <w:t>A</w:t>
      </w:r>
      <w:r w:rsidR="003E435B" w:rsidRPr="00B83170">
        <w:rPr>
          <w:rFonts w:ascii="Arial" w:hAnsi="Arial" w:cs="Arial"/>
        </w:rPr>
        <w:t xml:space="preserve"> p</w:t>
      </w:r>
      <w:r w:rsidR="00AA1D19" w:rsidRPr="00B83170">
        <w:rPr>
          <w:rFonts w:ascii="Arial" w:hAnsi="Arial" w:cs="Arial"/>
        </w:rPr>
        <w:t>residio del rispetto dei propri</w:t>
      </w:r>
      <w:r w:rsidR="003E435B" w:rsidRPr="00B83170">
        <w:rPr>
          <w:rFonts w:ascii="Arial" w:hAnsi="Arial" w:cs="Arial"/>
        </w:rPr>
        <w:t xml:space="preserve"> provvedimenti regolatori, la legge attribuisce all’AEEGSI poteri sanzionatori verso gli operatori economici del settore</w:t>
      </w:r>
      <w:r w:rsidR="00372195" w:rsidRPr="00B83170">
        <w:rPr>
          <w:rStyle w:val="Rimandonotaapidipagina"/>
          <w:rFonts w:ascii="Arial" w:hAnsi="Arial" w:cs="Arial"/>
        </w:rPr>
        <w:footnoteReference w:id="32"/>
      </w:r>
      <w:r w:rsidR="003E435B" w:rsidRPr="00B83170">
        <w:rPr>
          <w:rFonts w:ascii="Arial" w:hAnsi="Arial" w:cs="Arial"/>
        </w:rPr>
        <w:t>.</w:t>
      </w:r>
    </w:p>
    <w:p w:rsidR="00D33EB0" w:rsidRPr="00B83170" w:rsidRDefault="00A532CB" w:rsidP="00B83170">
      <w:pPr>
        <w:spacing w:after="0" w:line="260" w:lineRule="exact"/>
        <w:ind w:firstLine="284"/>
        <w:jc w:val="both"/>
        <w:rPr>
          <w:rFonts w:ascii="Arial" w:eastAsia="Times New Roman" w:hAnsi="Arial" w:cs="Arial"/>
          <w:lang w:eastAsia="it-IT"/>
        </w:rPr>
      </w:pPr>
      <w:r w:rsidRPr="00B83170">
        <w:rPr>
          <w:rFonts w:ascii="Arial" w:eastAsia="Times New Roman" w:hAnsi="Arial" w:cs="Arial"/>
          <w:color w:val="000000"/>
          <w:lang w:eastAsia="it-IT"/>
        </w:rPr>
        <w:t>I</w:t>
      </w:r>
      <w:r w:rsidR="0093606D" w:rsidRPr="00B83170">
        <w:rPr>
          <w:rFonts w:ascii="Arial" w:eastAsia="Times New Roman" w:hAnsi="Arial" w:cs="Arial"/>
          <w:color w:val="000000"/>
          <w:lang w:eastAsia="it-IT"/>
        </w:rPr>
        <w:t xml:space="preserve">n recenti pronunce si trova affermato che </w:t>
      </w:r>
      <w:r w:rsidR="002C389F" w:rsidRPr="00B83170">
        <w:rPr>
          <w:rFonts w:ascii="Arial" w:eastAsia="Times New Roman" w:hAnsi="Arial" w:cs="Arial"/>
          <w:color w:val="000000"/>
          <w:lang w:eastAsia="it-IT"/>
        </w:rPr>
        <w:t>tale</w:t>
      </w:r>
      <w:r w:rsidR="0093606D" w:rsidRPr="00B83170">
        <w:rPr>
          <w:rFonts w:ascii="Arial" w:eastAsia="Times New Roman" w:hAnsi="Arial" w:cs="Arial"/>
          <w:color w:val="000000"/>
          <w:lang w:eastAsia="it-IT"/>
        </w:rPr>
        <w:t xml:space="preserve"> potere sanzionatorio posto a valle del potere di regolazione dell’Autorità partecipa della specialità di quest’ultimo. </w:t>
      </w:r>
      <w:r w:rsidR="0093606D" w:rsidRPr="00B83170">
        <w:rPr>
          <w:rFonts w:ascii="Arial" w:eastAsia="Times New Roman" w:hAnsi="Arial" w:cs="Arial"/>
          <w:lang w:eastAsia="it-IT"/>
        </w:rPr>
        <w:t xml:space="preserve">Specialità </w:t>
      </w:r>
      <w:r w:rsidR="002C389F" w:rsidRPr="00B83170">
        <w:rPr>
          <w:rFonts w:ascii="Arial" w:eastAsia="Times New Roman" w:hAnsi="Arial" w:cs="Arial"/>
          <w:lang w:eastAsia="it-IT"/>
        </w:rPr>
        <w:t>che</w:t>
      </w:r>
      <w:r w:rsidR="00747F9C" w:rsidRPr="00B83170">
        <w:rPr>
          <w:rFonts w:ascii="Arial" w:eastAsia="Times New Roman" w:hAnsi="Arial" w:cs="Arial"/>
          <w:lang w:eastAsia="it-IT"/>
        </w:rPr>
        <w:t>, nel particolare caso,</w:t>
      </w:r>
      <w:r w:rsidR="002C389F" w:rsidRPr="00B83170">
        <w:rPr>
          <w:rFonts w:ascii="Arial" w:eastAsia="Times New Roman" w:hAnsi="Arial" w:cs="Arial"/>
          <w:lang w:eastAsia="it-IT"/>
        </w:rPr>
        <w:t xml:space="preserve"> viene tradotta</w:t>
      </w:r>
      <w:r w:rsidR="0093606D" w:rsidRPr="00B83170">
        <w:rPr>
          <w:rFonts w:ascii="Arial" w:eastAsia="Times New Roman" w:hAnsi="Arial" w:cs="Arial"/>
          <w:lang w:eastAsia="it-IT"/>
        </w:rPr>
        <w:t xml:space="preserve"> nell’inapplicabilità della </w:t>
      </w:r>
      <w:r w:rsidR="00CC6CE3">
        <w:rPr>
          <w:rFonts w:ascii="Arial" w:eastAsia="Times New Roman" w:hAnsi="Arial" w:cs="Arial"/>
          <w:lang w:eastAsia="it-IT"/>
        </w:rPr>
        <w:t>l</w:t>
      </w:r>
      <w:r w:rsidR="0093606D" w:rsidRPr="00B83170">
        <w:rPr>
          <w:rFonts w:ascii="Arial" w:eastAsia="Times New Roman" w:hAnsi="Arial" w:cs="Arial"/>
          <w:lang w:eastAsia="it-IT"/>
        </w:rPr>
        <w:t>.</w:t>
      </w:r>
      <w:r w:rsidR="00CC6CE3">
        <w:rPr>
          <w:rFonts w:ascii="Arial" w:eastAsia="Times New Roman" w:hAnsi="Arial" w:cs="Arial"/>
          <w:lang w:eastAsia="it-IT"/>
        </w:rPr>
        <w:t xml:space="preserve"> 24 novembre 1981, n.</w:t>
      </w:r>
      <w:r w:rsidR="0093606D" w:rsidRPr="00B83170">
        <w:rPr>
          <w:rFonts w:ascii="Arial" w:eastAsia="Times New Roman" w:hAnsi="Arial" w:cs="Arial"/>
          <w:lang w:eastAsia="it-IT"/>
        </w:rPr>
        <w:t xml:space="preserve"> 689</w:t>
      </w:r>
      <w:r w:rsidR="00CC6CE3">
        <w:rPr>
          <w:rFonts w:ascii="Arial" w:eastAsia="Times New Roman" w:hAnsi="Arial" w:cs="Arial"/>
          <w:lang w:eastAsia="it-IT"/>
        </w:rPr>
        <w:t xml:space="preserve"> </w:t>
      </w:r>
      <w:r w:rsidR="0093606D" w:rsidRPr="00B83170">
        <w:rPr>
          <w:rFonts w:ascii="Arial" w:eastAsia="Times New Roman" w:hAnsi="Arial" w:cs="Arial"/>
          <w:lang w:eastAsia="it-IT"/>
        </w:rPr>
        <w:t>in ordine agli aspetti non specificamente regolati dalla disciplina di settore.</w:t>
      </w:r>
    </w:p>
    <w:p w:rsidR="0093606D" w:rsidRPr="00B83170" w:rsidRDefault="0093606D" w:rsidP="00B83170">
      <w:pPr>
        <w:spacing w:after="0" w:line="260" w:lineRule="exact"/>
        <w:ind w:firstLine="284"/>
        <w:jc w:val="both"/>
        <w:rPr>
          <w:rFonts w:ascii="Arial" w:eastAsia="Times New Roman" w:hAnsi="Arial" w:cs="Arial"/>
          <w:color w:val="000000"/>
          <w:lang w:eastAsia="it-IT"/>
        </w:rPr>
      </w:pPr>
      <w:r w:rsidRPr="00B83170">
        <w:rPr>
          <w:rFonts w:ascii="Arial" w:eastAsia="Times New Roman" w:hAnsi="Arial" w:cs="Arial"/>
          <w:lang w:eastAsia="it-IT"/>
        </w:rPr>
        <w:t>In</w:t>
      </w:r>
      <w:r w:rsidR="00FA14A9" w:rsidRPr="00B83170">
        <w:rPr>
          <w:rFonts w:ascii="Arial" w:eastAsia="Times New Roman" w:hAnsi="Arial" w:cs="Arial"/>
          <w:lang w:eastAsia="it-IT"/>
        </w:rPr>
        <w:t>fatti, in</w:t>
      </w:r>
      <w:r w:rsidRPr="00B83170">
        <w:rPr>
          <w:rFonts w:ascii="Arial" w:eastAsia="Times New Roman" w:hAnsi="Arial" w:cs="Arial"/>
          <w:lang w:eastAsia="it-IT"/>
        </w:rPr>
        <w:t xml:space="preserve"> una controversia originatasi dall’impugnazione un provvedimento sanzionatorio emanato dall’AEEGSI per mancata applicazione di un coefficiente tariffario da parte di un operatore del settore della distribuzione e fornitura </w:t>
      </w:r>
      <w:r w:rsidRPr="00B83170">
        <w:rPr>
          <w:rFonts w:ascii="Arial" w:eastAsia="Times New Roman" w:hAnsi="Arial" w:cs="Arial"/>
          <w:color w:val="000000"/>
          <w:lang w:eastAsia="it-IT"/>
        </w:rPr>
        <w:t xml:space="preserve">dell’energia elettrica ai clienti del mercato vincolato, il Consiglio di Stato ha sancito la non applicabilità ai procedimenti sanzionatori dell’Autorità </w:t>
      </w:r>
      <w:r w:rsidR="00E061D5" w:rsidRPr="00B83170">
        <w:rPr>
          <w:rFonts w:ascii="Arial" w:eastAsia="Times New Roman" w:hAnsi="Arial" w:cs="Arial"/>
          <w:color w:val="000000"/>
          <w:lang w:eastAsia="it-IT"/>
        </w:rPr>
        <w:t xml:space="preserve">del </w:t>
      </w:r>
      <w:r w:rsidR="00E061D5" w:rsidRPr="00B83170">
        <w:rPr>
          <w:rFonts w:ascii="Arial" w:eastAsia="Times New Roman" w:hAnsi="Arial" w:cs="Arial"/>
          <w:color w:val="000000"/>
          <w:lang w:eastAsia="it-IT"/>
        </w:rPr>
        <w:lastRenderedPageBreak/>
        <w:t xml:space="preserve">termine perentorio di novanta giorni dall’accertamento dell’infrazione per la contestazione stabilito dall’art. 14, </w:t>
      </w:r>
      <w:r w:rsidR="00CC6CE3">
        <w:rPr>
          <w:rFonts w:ascii="Arial" w:eastAsia="Times New Roman" w:hAnsi="Arial" w:cs="Arial"/>
          <w:color w:val="000000"/>
          <w:lang w:eastAsia="it-IT"/>
        </w:rPr>
        <w:t>l</w:t>
      </w:r>
      <w:r w:rsidR="00E061D5" w:rsidRPr="00B83170">
        <w:rPr>
          <w:rFonts w:ascii="Arial" w:eastAsia="Times New Roman" w:hAnsi="Arial" w:cs="Arial"/>
          <w:color w:val="000000"/>
          <w:lang w:eastAsia="it-IT"/>
        </w:rPr>
        <w:t xml:space="preserve">. </w:t>
      </w:r>
      <w:r w:rsidR="00CC6CE3">
        <w:rPr>
          <w:rFonts w:ascii="Arial" w:eastAsia="Times New Roman" w:hAnsi="Arial" w:cs="Arial"/>
          <w:color w:val="000000"/>
          <w:lang w:eastAsia="it-IT"/>
        </w:rPr>
        <w:t xml:space="preserve">n. </w:t>
      </w:r>
      <w:r w:rsidR="00E061D5" w:rsidRPr="00B83170">
        <w:rPr>
          <w:rFonts w:ascii="Arial" w:eastAsia="Times New Roman" w:hAnsi="Arial" w:cs="Arial"/>
          <w:color w:val="000000"/>
          <w:lang w:eastAsia="it-IT"/>
        </w:rPr>
        <w:t>689/1981</w:t>
      </w:r>
      <w:r w:rsidR="00206CBD" w:rsidRPr="00B83170">
        <w:rPr>
          <w:rStyle w:val="Rimandonotaapidipagina"/>
          <w:rFonts w:ascii="Arial" w:eastAsia="Times New Roman" w:hAnsi="Arial" w:cs="Arial"/>
          <w:color w:val="000000"/>
          <w:lang w:eastAsia="it-IT"/>
        </w:rPr>
        <w:footnoteReference w:id="33"/>
      </w:r>
      <w:r w:rsidR="00E061D5" w:rsidRPr="00B83170">
        <w:rPr>
          <w:rFonts w:ascii="Arial" w:eastAsia="Times New Roman" w:hAnsi="Arial" w:cs="Arial"/>
          <w:color w:val="000000"/>
          <w:lang w:eastAsia="it-IT"/>
        </w:rPr>
        <w:t>.</w:t>
      </w:r>
    </w:p>
    <w:p w:rsidR="00E061D5" w:rsidRPr="00B83170" w:rsidRDefault="00E061D5" w:rsidP="00B83170">
      <w:pPr>
        <w:spacing w:after="0" w:line="260" w:lineRule="exact"/>
        <w:ind w:firstLine="284"/>
        <w:jc w:val="both"/>
        <w:rPr>
          <w:rFonts w:ascii="Arial" w:eastAsia="Times New Roman" w:hAnsi="Arial" w:cs="Arial"/>
          <w:color w:val="000000"/>
          <w:lang w:eastAsia="it-IT"/>
        </w:rPr>
      </w:pPr>
      <w:r w:rsidRPr="00B83170">
        <w:rPr>
          <w:rFonts w:ascii="Arial" w:eastAsia="Times New Roman" w:hAnsi="Arial" w:cs="Arial"/>
          <w:color w:val="000000"/>
          <w:lang w:eastAsia="it-IT"/>
        </w:rPr>
        <w:t>Gli argomenti a sostegno della decisione sono due.</w:t>
      </w:r>
    </w:p>
    <w:p w:rsidR="00D33EB0" w:rsidRPr="00B83170" w:rsidRDefault="00E061D5" w:rsidP="00B83170">
      <w:pPr>
        <w:spacing w:after="0" w:line="260" w:lineRule="exact"/>
        <w:ind w:firstLine="284"/>
        <w:jc w:val="both"/>
        <w:rPr>
          <w:rFonts w:ascii="Arial" w:eastAsia="Times New Roman" w:hAnsi="Arial" w:cs="Arial"/>
          <w:color w:val="000000"/>
          <w:lang w:eastAsia="it-IT"/>
        </w:rPr>
      </w:pPr>
      <w:r w:rsidRPr="00B83170">
        <w:rPr>
          <w:rFonts w:ascii="Arial" w:eastAsia="Times New Roman" w:hAnsi="Arial" w:cs="Arial"/>
          <w:color w:val="000000"/>
          <w:lang w:eastAsia="it-IT"/>
        </w:rPr>
        <w:t>In primo luogo</w:t>
      </w:r>
      <w:r w:rsidR="00206CBD" w:rsidRPr="00B83170">
        <w:rPr>
          <w:rFonts w:ascii="Arial" w:eastAsia="Times New Roman" w:hAnsi="Arial" w:cs="Arial"/>
          <w:color w:val="000000"/>
          <w:lang w:eastAsia="it-IT"/>
        </w:rPr>
        <w:t xml:space="preserve"> viene evidenziato che</w:t>
      </w:r>
      <w:r w:rsidRPr="00B83170">
        <w:rPr>
          <w:rFonts w:ascii="Arial" w:eastAsia="Times New Roman" w:hAnsi="Arial" w:cs="Arial"/>
          <w:color w:val="000000"/>
          <w:lang w:eastAsia="it-IT"/>
        </w:rPr>
        <w:t xml:space="preserve"> i</w:t>
      </w:r>
      <w:r w:rsidR="00D33EB0" w:rsidRPr="00B83170">
        <w:rPr>
          <w:rFonts w:ascii="Arial" w:eastAsia="Times New Roman" w:hAnsi="Arial" w:cs="Arial"/>
          <w:color w:val="000000"/>
          <w:lang w:eastAsia="it-IT"/>
        </w:rPr>
        <w:t xml:space="preserve"> procedimenti sanzionatori </w:t>
      </w:r>
      <w:r w:rsidRPr="00B83170">
        <w:rPr>
          <w:rFonts w:ascii="Arial" w:eastAsia="Times New Roman" w:hAnsi="Arial" w:cs="Arial"/>
          <w:color w:val="000000"/>
          <w:lang w:eastAsia="it-IT"/>
        </w:rPr>
        <w:t>dell’AEEGSI</w:t>
      </w:r>
      <w:r w:rsidR="00D33EB0" w:rsidRPr="00B83170">
        <w:rPr>
          <w:rFonts w:ascii="Arial" w:eastAsia="Times New Roman" w:hAnsi="Arial" w:cs="Arial"/>
          <w:color w:val="000000"/>
          <w:lang w:eastAsia="it-IT"/>
        </w:rPr>
        <w:t xml:space="preserve"> </w:t>
      </w:r>
      <w:r w:rsidRPr="00B83170">
        <w:rPr>
          <w:rFonts w:ascii="Arial" w:eastAsia="Times New Roman" w:hAnsi="Arial" w:cs="Arial"/>
          <w:color w:val="000000"/>
          <w:lang w:eastAsia="it-IT"/>
        </w:rPr>
        <w:t xml:space="preserve">sono </w:t>
      </w:r>
      <w:r w:rsidR="00D33EB0" w:rsidRPr="00B83170">
        <w:rPr>
          <w:rFonts w:ascii="Arial" w:eastAsia="Times New Roman" w:hAnsi="Arial" w:cs="Arial"/>
          <w:color w:val="000000"/>
          <w:lang w:eastAsia="it-IT"/>
        </w:rPr>
        <w:t xml:space="preserve">disciplinati dal </w:t>
      </w:r>
      <w:r w:rsidR="00CC6CE3">
        <w:rPr>
          <w:rFonts w:ascii="Arial" w:eastAsia="Times New Roman" w:hAnsi="Arial" w:cs="Arial"/>
          <w:color w:val="000000"/>
          <w:lang w:eastAsia="it-IT"/>
        </w:rPr>
        <w:t>D.P.R.</w:t>
      </w:r>
      <w:r w:rsidR="00D33EB0" w:rsidRPr="00B83170">
        <w:rPr>
          <w:rFonts w:ascii="Arial" w:eastAsia="Times New Roman" w:hAnsi="Arial" w:cs="Arial"/>
          <w:color w:val="000000"/>
          <w:lang w:eastAsia="it-IT"/>
        </w:rPr>
        <w:t xml:space="preserve"> 9 maggio 2001, n. 244</w:t>
      </w:r>
      <w:r w:rsidRPr="00B83170">
        <w:rPr>
          <w:rStyle w:val="Rimandonotaapidipagina"/>
          <w:rFonts w:ascii="Arial" w:eastAsia="Times New Roman" w:hAnsi="Arial" w:cs="Arial"/>
          <w:color w:val="000000"/>
          <w:lang w:eastAsia="it-IT"/>
        </w:rPr>
        <w:footnoteReference w:id="34"/>
      </w:r>
      <w:r w:rsidRPr="00B83170">
        <w:rPr>
          <w:rFonts w:ascii="Arial" w:eastAsia="Times New Roman" w:hAnsi="Arial" w:cs="Arial"/>
          <w:color w:val="000000"/>
          <w:lang w:eastAsia="it-IT"/>
        </w:rPr>
        <w:t xml:space="preserve">, il quale pone una </w:t>
      </w:r>
      <w:r w:rsidR="00D33EB0" w:rsidRPr="00B83170">
        <w:rPr>
          <w:rFonts w:ascii="Arial" w:eastAsia="Times New Roman" w:hAnsi="Arial" w:cs="Arial"/>
          <w:color w:val="000000"/>
          <w:lang w:eastAsia="it-IT"/>
        </w:rPr>
        <w:t>dettagliata disciplina del procedimento, dalla fase prodromica, istruttoria e parte</w:t>
      </w:r>
      <w:r w:rsidRPr="00B83170">
        <w:rPr>
          <w:rFonts w:ascii="Arial" w:eastAsia="Times New Roman" w:hAnsi="Arial" w:cs="Arial"/>
          <w:color w:val="000000"/>
          <w:lang w:eastAsia="it-IT"/>
        </w:rPr>
        <w:t>cipativa, fino all’esito finale e</w:t>
      </w:r>
      <w:r w:rsidR="00D33EB0" w:rsidRPr="00B83170">
        <w:rPr>
          <w:rFonts w:ascii="Arial" w:eastAsia="Times New Roman" w:hAnsi="Arial" w:cs="Arial"/>
          <w:color w:val="000000"/>
          <w:lang w:eastAsia="it-IT"/>
        </w:rPr>
        <w:t xml:space="preserve"> non prevede una scansione delle varie fasi, e relativi termini, corrispondente o analoga a quella di cui alla l</w:t>
      </w:r>
      <w:r w:rsidR="00CC6CE3">
        <w:rPr>
          <w:rFonts w:ascii="Arial" w:eastAsia="Times New Roman" w:hAnsi="Arial" w:cs="Arial"/>
          <w:color w:val="000000"/>
          <w:lang w:eastAsia="it-IT"/>
        </w:rPr>
        <w:t>. n. 689/</w:t>
      </w:r>
      <w:r w:rsidR="00D33EB0" w:rsidRPr="00B83170">
        <w:rPr>
          <w:rFonts w:ascii="Arial" w:eastAsia="Times New Roman" w:hAnsi="Arial" w:cs="Arial"/>
          <w:color w:val="000000"/>
          <w:lang w:eastAsia="it-IT"/>
        </w:rPr>
        <w:t>1981.</w:t>
      </w:r>
    </w:p>
    <w:p w:rsidR="00D33EB0" w:rsidRPr="00B83170" w:rsidRDefault="00E061D5" w:rsidP="00B83170">
      <w:pPr>
        <w:spacing w:after="0" w:line="260" w:lineRule="exact"/>
        <w:ind w:firstLine="284"/>
        <w:jc w:val="both"/>
        <w:rPr>
          <w:rFonts w:ascii="Arial" w:eastAsia="Times New Roman" w:hAnsi="Arial" w:cs="Arial"/>
          <w:color w:val="000000"/>
          <w:lang w:eastAsia="it-IT"/>
        </w:rPr>
      </w:pPr>
      <w:r w:rsidRPr="00B83170">
        <w:rPr>
          <w:rFonts w:ascii="Arial" w:eastAsia="Times New Roman" w:hAnsi="Arial" w:cs="Arial"/>
          <w:color w:val="000000"/>
          <w:lang w:eastAsia="it-IT"/>
        </w:rPr>
        <w:t xml:space="preserve">A tale argomento si aggiungono </w:t>
      </w:r>
      <w:r w:rsidR="00206CBD" w:rsidRPr="00B83170">
        <w:rPr>
          <w:rFonts w:ascii="Arial" w:eastAsia="Times New Roman" w:hAnsi="Arial" w:cs="Arial"/>
          <w:color w:val="000000"/>
          <w:lang w:eastAsia="it-IT"/>
        </w:rPr>
        <w:t>poi</w:t>
      </w:r>
      <w:r w:rsidRPr="00B83170">
        <w:rPr>
          <w:rFonts w:ascii="Arial" w:eastAsia="Times New Roman" w:hAnsi="Arial" w:cs="Arial"/>
          <w:color w:val="000000"/>
          <w:lang w:eastAsia="it-IT"/>
        </w:rPr>
        <w:t xml:space="preserve"> </w:t>
      </w:r>
      <w:r w:rsidR="00206CBD" w:rsidRPr="00B83170">
        <w:rPr>
          <w:rFonts w:ascii="Arial" w:eastAsia="Times New Roman" w:hAnsi="Arial" w:cs="Arial"/>
          <w:color w:val="000000"/>
          <w:lang w:eastAsia="it-IT"/>
        </w:rPr>
        <w:t>più sostanziali e fondamentali considerazioni.</w:t>
      </w:r>
    </w:p>
    <w:p w:rsidR="00E061D5" w:rsidRPr="00B83170" w:rsidRDefault="00E061D5" w:rsidP="00B83170">
      <w:pPr>
        <w:spacing w:after="0" w:line="260" w:lineRule="exact"/>
        <w:ind w:firstLine="284"/>
        <w:jc w:val="both"/>
        <w:rPr>
          <w:rFonts w:ascii="Arial" w:eastAsia="Times New Roman" w:hAnsi="Arial" w:cs="Arial"/>
          <w:color w:val="000000"/>
          <w:lang w:eastAsia="it-IT"/>
        </w:rPr>
      </w:pPr>
      <w:r w:rsidRPr="00B83170">
        <w:rPr>
          <w:rFonts w:ascii="Arial" w:hAnsi="Arial" w:cs="Arial"/>
        </w:rPr>
        <w:t>Viene infatti affermato che l’intervento sanzionatorio dell’AEEGSI</w:t>
      </w:r>
      <w:r w:rsidRPr="00B83170">
        <w:rPr>
          <w:rFonts w:ascii="Arial" w:eastAsia="Times New Roman" w:hAnsi="Arial" w:cs="Arial"/>
          <w:i/>
          <w:color w:val="000000"/>
          <w:lang w:eastAsia="it-IT"/>
        </w:rPr>
        <w:t xml:space="preserve"> «non perde la caratteristica primaria ed essenziale, </w:t>
      </w:r>
      <w:r w:rsidRPr="00B83170">
        <w:rPr>
          <w:rFonts w:ascii="Arial" w:eastAsia="Times New Roman" w:hAnsi="Arial" w:cs="Arial"/>
          <w:i/>
          <w:iCs/>
          <w:color w:val="000000"/>
          <w:lang w:eastAsia="it-IT"/>
        </w:rPr>
        <w:t>de futuro</w:t>
      </w:r>
      <w:r w:rsidRPr="00B83170">
        <w:rPr>
          <w:rFonts w:ascii="Arial" w:eastAsia="Times New Roman" w:hAnsi="Arial" w:cs="Arial"/>
          <w:i/>
          <w:color w:val="000000"/>
          <w:lang w:eastAsia="it-IT"/>
        </w:rPr>
        <w:t xml:space="preserve">, di regolazione pubblica di attività economiche private in un particolare mercato richiesta per la tutela delle condizioni di concorrenza» </w:t>
      </w:r>
      <w:r w:rsidRPr="00B83170">
        <w:rPr>
          <w:rFonts w:ascii="Arial" w:eastAsia="Times New Roman" w:hAnsi="Arial" w:cs="Arial"/>
          <w:color w:val="000000"/>
          <w:lang w:eastAsia="it-IT"/>
        </w:rPr>
        <w:t>ragion per cui</w:t>
      </w:r>
      <w:r w:rsidRPr="00B83170">
        <w:rPr>
          <w:rFonts w:ascii="Arial" w:eastAsia="Times New Roman" w:hAnsi="Arial" w:cs="Arial"/>
          <w:i/>
          <w:color w:val="000000"/>
          <w:lang w:eastAsia="it-IT"/>
        </w:rPr>
        <w:t xml:space="preserve">  «è fuor di luogo riferirvi un procedimento finalizzato invece alla mera retribuzione sanzionatoria </w:t>
      </w:r>
      <w:r w:rsidRPr="00B83170">
        <w:rPr>
          <w:rFonts w:ascii="Arial" w:eastAsia="Times New Roman" w:hAnsi="Arial" w:cs="Arial"/>
          <w:i/>
          <w:iCs/>
          <w:color w:val="000000"/>
          <w:lang w:eastAsia="it-IT"/>
        </w:rPr>
        <w:t>de praeterito</w:t>
      </w:r>
      <w:r w:rsidRPr="00B83170">
        <w:rPr>
          <w:rFonts w:ascii="Arial" w:eastAsia="Times New Roman" w:hAnsi="Arial" w:cs="Arial"/>
          <w:i/>
          <w:color w:val="000000"/>
          <w:lang w:eastAsia="it-IT"/>
        </w:rPr>
        <w:t> di comportamenti individuali, qual è quello del Capo I della l. n. 689 del 1981</w:t>
      </w:r>
      <w:r w:rsidRPr="00B83170">
        <w:rPr>
          <w:rFonts w:ascii="Arial" w:eastAsia="Times New Roman" w:hAnsi="Arial" w:cs="Arial"/>
          <w:color w:val="000000"/>
          <w:lang w:eastAsia="it-IT"/>
        </w:rPr>
        <w:t>».</w:t>
      </w:r>
    </w:p>
    <w:p w:rsidR="00D33EB0" w:rsidRPr="00B83170" w:rsidRDefault="00FA14A9" w:rsidP="00B83170">
      <w:pPr>
        <w:spacing w:after="0" w:line="260" w:lineRule="exact"/>
        <w:ind w:firstLine="284"/>
        <w:jc w:val="both"/>
        <w:rPr>
          <w:rFonts w:ascii="Arial" w:eastAsia="Times New Roman" w:hAnsi="Arial" w:cs="Arial"/>
          <w:color w:val="000000"/>
          <w:lang w:eastAsia="it-IT"/>
        </w:rPr>
      </w:pPr>
      <w:r w:rsidRPr="00B83170">
        <w:rPr>
          <w:rFonts w:ascii="Arial" w:eastAsia="Times New Roman" w:hAnsi="Arial" w:cs="Arial"/>
          <w:color w:val="000000"/>
          <w:lang w:eastAsia="it-IT"/>
        </w:rPr>
        <w:t>Si sostiene inoltre</w:t>
      </w:r>
      <w:r w:rsidR="00206CBD" w:rsidRPr="00B83170">
        <w:rPr>
          <w:rFonts w:ascii="Arial" w:eastAsia="Times New Roman" w:hAnsi="Arial" w:cs="Arial"/>
          <w:color w:val="000000"/>
          <w:lang w:eastAsia="it-IT"/>
        </w:rPr>
        <w:t xml:space="preserve"> che «</w:t>
      </w:r>
      <w:r w:rsidR="00D33EB0" w:rsidRPr="00B83170">
        <w:rPr>
          <w:rFonts w:ascii="Arial" w:eastAsia="Times New Roman" w:hAnsi="Arial" w:cs="Arial"/>
          <w:i/>
          <w:color w:val="000000"/>
          <w:lang w:eastAsia="it-IT"/>
        </w:rPr>
        <w:t>l’accertamento della violazione è frutto di una sequenza procedimentale nella quale l’attività accertativa non è istantanea, ma presuppone una serie di atti conoscitivi, a finalità patentemente regolatoria, nell’ambito dei quali non è individuabile quello a cui attribuire con la dovuta certezza l’effetto di costituire il momento iniziale della decorrenza del termine decadenziale</w:t>
      </w:r>
      <w:r w:rsidR="00206CBD" w:rsidRPr="00B83170">
        <w:rPr>
          <w:rFonts w:ascii="Arial" w:eastAsia="Times New Roman" w:hAnsi="Arial" w:cs="Arial"/>
          <w:color w:val="000000"/>
          <w:lang w:eastAsia="it-IT"/>
        </w:rPr>
        <w:t>».</w:t>
      </w:r>
    </w:p>
    <w:p w:rsidR="0030660B" w:rsidRDefault="00E4191E" w:rsidP="00CC7351">
      <w:pPr>
        <w:spacing w:after="0" w:line="260" w:lineRule="exact"/>
        <w:ind w:firstLine="284"/>
        <w:jc w:val="both"/>
        <w:rPr>
          <w:rFonts w:ascii="Arial" w:eastAsia="Times New Roman" w:hAnsi="Arial" w:cs="Arial"/>
          <w:color w:val="000000"/>
          <w:lang w:eastAsia="it-IT"/>
        </w:rPr>
      </w:pPr>
      <w:r w:rsidRPr="00B83170">
        <w:rPr>
          <w:rFonts w:ascii="Arial" w:eastAsia="Times New Roman" w:hAnsi="Arial" w:cs="Arial"/>
          <w:color w:val="000000"/>
          <w:lang w:eastAsia="it-IT"/>
        </w:rPr>
        <w:t>Sembra evincersi</w:t>
      </w:r>
      <w:r w:rsidR="00206CBD" w:rsidRPr="00B83170">
        <w:rPr>
          <w:rFonts w:ascii="Arial" w:eastAsia="Times New Roman" w:hAnsi="Arial" w:cs="Arial"/>
          <w:color w:val="000000"/>
          <w:lang w:eastAsia="it-IT"/>
        </w:rPr>
        <w:t xml:space="preserve"> da tali passaggi che secondo il G.A. i provvedimenti sanzionatori dell’Autorità non abbiano funzione </w:t>
      </w:r>
      <w:r w:rsidR="00FF6362" w:rsidRPr="00B83170">
        <w:rPr>
          <w:rFonts w:ascii="Arial" w:eastAsia="Times New Roman" w:hAnsi="Arial" w:cs="Arial"/>
          <w:color w:val="000000"/>
          <w:lang w:eastAsia="it-IT"/>
        </w:rPr>
        <w:t xml:space="preserve">meramente </w:t>
      </w:r>
      <w:r w:rsidR="00206CBD" w:rsidRPr="00B83170">
        <w:rPr>
          <w:rFonts w:ascii="Arial" w:eastAsia="Times New Roman" w:hAnsi="Arial" w:cs="Arial"/>
          <w:color w:val="000000"/>
          <w:lang w:eastAsia="it-IT"/>
        </w:rPr>
        <w:t xml:space="preserve">punitiva </w:t>
      </w:r>
      <w:r w:rsidR="00FA14A9" w:rsidRPr="00B83170">
        <w:rPr>
          <w:rFonts w:ascii="Arial" w:eastAsia="Times New Roman" w:hAnsi="Arial" w:cs="Arial"/>
          <w:color w:val="000000"/>
          <w:lang w:eastAsia="it-IT"/>
        </w:rPr>
        <w:t>bensì costituisca</w:t>
      </w:r>
      <w:r w:rsidR="003A03E7" w:rsidRPr="00B83170">
        <w:rPr>
          <w:rFonts w:ascii="Arial" w:eastAsia="Times New Roman" w:hAnsi="Arial" w:cs="Arial"/>
          <w:color w:val="000000"/>
          <w:lang w:eastAsia="it-IT"/>
        </w:rPr>
        <w:t xml:space="preserve">no una sorta di prosecuzione dell’attività regolatoria. Non si comprende </w:t>
      </w:r>
      <w:r w:rsidR="00FF6362" w:rsidRPr="00B83170">
        <w:rPr>
          <w:rFonts w:ascii="Arial" w:eastAsia="Times New Roman" w:hAnsi="Arial" w:cs="Arial"/>
          <w:color w:val="000000"/>
          <w:lang w:eastAsia="it-IT"/>
        </w:rPr>
        <w:t xml:space="preserve">tuttavia </w:t>
      </w:r>
      <w:r w:rsidR="003A03E7" w:rsidRPr="00B83170">
        <w:rPr>
          <w:rFonts w:ascii="Arial" w:eastAsia="Times New Roman" w:hAnsi="Arial" w:cs="Arial"/>
          <w:color w:val="000000"/>
          <w:lang w:eastAsia="it-IT"/>
        </w:rPr>
        <w:t>se tale concezione si traduca solo in una deroga all’applicazione della disciplina generale dei procedimenti sanzionatori o anche in una limitazione del sindacato giurisdizionale quanto ai presupposti dell’applicazione della sanzione</w:t>
      </w:r>
      <w:r w:rsidR="00FA14A9" w:rsidRPr="00B83170">
        <w:rPr>
          <w:rFonts w:ascii="Arial" w:eastAsia="Times New Roman" w:hAnsi="Arial" w:cs="Arial"/>
          <w:color w:val="000000"/>
          <w:lang w:eastAsia="it-IT"/>
        </w:rPr>
        <w:t xml:space="preserve"> e tale</w:t>
      </w:r>
      <w:r w:rsidR="00C462FE" w:rsidRPr="00B83170">
        <w:rPr>
          <w:rFonts w:ascii="Arial" w:eastAsia="Times New Roman" w:hAnsi="Arial" w:cs="Arial"/>
          <w:color w:val="000000"/>
          <w:lang w:eastAsia="it-IT"/>
        </w:rPr>
        <w:t xml:space="preserve"> dubbio deriva dall’affermazione secondo la quale gli atti conoscitivi presenterebbero fi</w:t>
      </w:r>
      <w:r w:rsidR="00FA14A9" w:rsidRPr="00B83170">
        <w:rPr>
          <w:rFonts w:ascii="Arial" w:eastAsia="Times New Roman" w:hAnsi="Arial" w:cs="Arial"/>
          <w:color w:val="000000"/>
          <w:lang w:eastAsia="it-IT"/>
        </w:rPr>
        <w:t>nalità patentemente regolatoria</w:t>
      </w:r>
      <w:r w:rsidR="003A03E7" w:rsidRPr="00B83170">
        <w:rPr>
          <w:rFonts w:ascii="Arial" w:eastAsia="Times New Roman" w:hAnsi="Arial" w:cs="Arial"/>
          <w:color w:val="000000"/>
          <w:lang w:eastAsia="it-IT"/>
        </w:rPr>
        <w:t>.</w:t>
      </w:r>
    </w:p>
    <w:p w:rsidR="00642F79" w:rsidRDefault="00642F79" w:rsidP="00CC7351">
      <w:pPr>
        <w:spacing w:after="0" w:line="260" w:lineRule="exact"/>
        <w:ind w:firstLine="284"/>
        <w:jc w:val="both"/>
        <w:rPr>
          <w:rFonts w:ascii="Arial" w:eastAsia="Times New Roman" w:hAnsi="Arial" w:cs="Arial"/>
          <w:color w:val="000000"/>
          <w:lang w:eastAsia="it-IT"/>
        </w:rPr>
      </w:pPr>
    </w:p>
    <w:p w:rsidR="00642F79" w:rsidRDefault="00642F79" w:rsidP="00CC7351">
      <w:pPr>
        <w:spacing w:after="0" w:line="260" w:lineRule="exact"/>
        <w:ind w:firstLine="284"/>
        <w:jc w:val="both"/>
        <w:rPr>
          <w:rFonts w:ascii="Arial" w:eastAsia="Times New Roman" w:hAnsi="Arial" w:cs="Arial"/>
          <w:color w:val="000000"/>
          <w:lang w:eastAsia="it-IT"/>
        </w:rPr>
      </w:pPr>
    </w:p>
    <w:p w:rsidR="00642F79" w:rsidRDefault="00642F79" w:rsidP="00CC7351">
      <w:pPr>
        <w:spacing w:after="0" w:line="260" w:lineRule="exact"/>
        <w:ind w:firstLine="284"/>
        <w:jc w:val="both"/>
        <w:rPr>
          <w:rFonts w:ascii="Arial" w:eastAsia="Times New Roman" w:hAnsi="Arial" w:cs="Arial"/>
          <w:color w:val="000000"/>
          <w:lang w:eastAsia="it-IT"/>
        </w:rPr>
      </w:pPr>
    </w:p>
    <w:p w:rsidR="00642F79" w:rsidRPr="00B83170" w:rsidRDefault="00642F79" w:rsidP="00CC7351">
      <w:pPr>
        <w:spacing w:after="0" w:line="260" w:lineRule="exact"/>
        <w:ind w:firstLine="284"/>
        <w:jc w:val="both"/>
        <w:rPr>
          <w:rFonts w:ascii="Arial" w:eastAsia="Times New Roman" w:hAnsi="Arial" w:cs="Arial"/>
          <w:color w:val="000000"/>
          <w:lang w:eastAsia="it-IT"/>
        </w:rPr>
      </w:pPr>
    </w:p>
    <w:p w:rsidR="00913F76" w:rsidRPr="004C214D" w:rsidRDefault="001A570B" w:rsidP="004C214D">
      <w:pPr>
        <w:pStyle w:val="Paragrafoelenco"/>
        <w:numPr>
          <w:ilvl w:val="0"/>
          <w:numId w:val="3"/>
        </w:numPr>
        <w:spacing w:before="640" w:after="384" w:line="290" w:lineRule="exact"/>
        <w:ind w:left="-40" w:hanging="357"/>
        <w:jc w:val="both"/>
        <w:rPr>
          <w:rFonts w:ascii="Arial" w:eastAsia="Times New Roman" w:hAnsi="Arial"/>
          <w:b/>
          <w:color w:val="974726"/>
          <w:sz w:val="25"/>
          <w:szCs w:val="20"/>
          <w:lang w:eastAsia="it-IT"/>
        </w:rPr>
      </w:pPr>
      <w:r w:rsidRPr="0030660B">
        <w:rPr>
          <w:rFonts w:ascii="Arial" w:eastAsia="Times New Roman" w:hAnsi="Arial"/>
          <w:b/>
          <w:color w:val="974726"/>
          <w:sz w:val="25"/>
          <w:szCs w:val="20"/>
          <w:lang w:eastAsia="it-IT"/>
        </w:rPr>
        <w:t>L</w:t>
      </w:r>
      <w:r w:rsidR="003D2681" w:rsidRPr="0030660B">
        <w:rPr>
          <w:rFonts w:ascii="Arial" w:eastAsia="Times New Roman" w:hAnsi="Arial"/>
          <w:b/>
          <w:color w:val="974726"/>
          <w:sz w:val="25"/>
          <w:szCs w:val="20"/>
          <w:lang w:eastAsia="it-IT"/>
        </w:rPr>
        <w:t xml:space="preserve">’esecuzione del giudicato sul potere </w:t>
      </w:r>
      <w:r w:rsidR="00642F79">
        <w:rPr>
          <w:rFonts w:ascii="Arial" w:eastAsia="Times New Roman" w:hAnsi="Arial"/>
          <w:b/>
          <w:color w:val="974726"/>
          <w:sz w:val="25"/>
          <w:szCs w:val="20"/>
          <w:lang w:eastAsia="it-IT"/>
        </w:rPr>
        <w:t>regolatorio</w:t>
      </w:r>
    </w:p>
    <w:p w:rsidR="003D2681" w:rsidRPr="00B83170" w:rsidRDefault="00301D20" w:rsidP="00B83170">
      <w:pPr>
        <w:spacing w:after="0" w:line="260" w:lineRule="exact"/>
        <w:ind w:firstLine="284"/>
        <w:jc w:val="both"/>
        <w:rPr>
          <w:rFonts w:ascii="Arial" w:hAnsi="Arial" w:cs="Arial"/>
        </w:rPr>
      </w:pPr>
      <w:r w:rsidRPr="00B83170">
        <w:rPr>
          <w:rFonts w:ascii="Arial" w:hAnsi="Arial" w:cs="Arial"/>
        </w:rPr>
        <w:t xml:space="preserve">L’esame della giurisprudenza evidenzia infine un duplice ordine di problemi in </w:t>
      </w:r>
      <w:r w:rsidR="0048503C" w:rsidRPr="00B83170">
        <w:rPr>
          <w:rFonts w:ascii="Arial" w:hAnsi="Arial" w:cs="Arial"/>
        </w:rPr>
        <w:t>relazione</w:t>
      </w:r>
      <w:r w:rsidR="005100B4" w:rsidRPr="00B83170">
        <w:rPr>
          <w:rFonts w:ascii="Arial" w:hAnsi="Arial" w:cs="Arial"/>
        </w:rPr>
        <w:t xml:space="preserve"> all’esecuzione</w:t>
      </w:r>
      <w:r w:rsidRPr="00B83170">
        <w:rPr>
          <w:rFonts w:ascii="Arial" w:hAnsi="Arial" w:cs="Arial"/>
        </w:rPr>
        <w:t xml:space="preserve"> delle sentenze di annullamen</w:t>
      </w:r>
      <w:r w:rsidR="00FA14A9" w:rsidRPr="00B83170">
        <w:rPr>
          <w:rFonts w:ascii="Arial" w:hAnsi="Arial" w:cs="Arial"/>
        </w:rPr>
        <w:t>to dei provvedimenti regolatori, ovverosia</w:t>
      </w:r>
      <w:r w:rsidRPr="00B83170">
        <w:rPr>
          <w:rFonts w:ascii="Arial" w:hAnsi="Arial" w:cs="Arial"/>
        </w:rPr>
        <w:t xml:space="preserve"> la consistenza dell’effetto confermativo e i poteri </w:t>
      </w:r>
      <w:r w:rsidR="001A570B" w:rsidRPr="00B83170">
        <w:rPr>
          <w:rFonts w:ascii="Arial" w:hAnsi="Arial" w:cs="Arial"/>
        </w:rPr>
        <w:t xml:space="preserve">sostitutivi </w:t>
      </w:r>
      <w:r w:rsidRPr="00B83170">
        <w:rPr>
          <w:rFonts w:ascii="Arial" w:hAnsi="Arial" w:cs="Arial"/>
        </w:rPr>
        <w:t>del giudice dell’ottemperanza</w:t>
      </w:r>
      <w:r w:rsidR="0048503C" w:rsidRPr="00B83170">
        <w:rPr>
          <w:rFonts w:ascii="Arial" w:hAnsi="Arial" w:cs="Arial"/>
        </w:rPr>
        <w:t>.</w:t>
      </w:r>
    </w:p>
    <w:p w:rsidR="00301D20" w:rsidRPr="00B83170" w:rsidRDefault="00BD3A5E" w:rsidP="00B83170">
      <w:pPr>
        <w:spacing w:after="0" w:line="260" w:lineRule="exact"/>
        <w:ind w:firstLine="284"/>
        <w:jc w:val="both"/>
        <w:rPr>
          <w:rFonts w:ascii="Arial" w:hAnsi="Arial" w:cs="Arial"/>
        </w:rPr>
      </w:pPr>
      <w:r w:rsidRPr="00B83170">
        <w:rPr>
          <w:rFonts w:ascii="Arial" w:hAnsi="Arial" w:cs="Arial"/>
        </w:rPr>
        <w:lastRenderedPageBreak/>
        <w:t xml:space="preserve">Quanto al primo aspetto, la natura della norma attributiva di potere, che come detto pone vincoli di mero indirizzo, </w:t>
      </w:r>
      <w:r w:rsidR="002B6D07" w:rsidRPr="00B83170">
        <w:rPr>
          <w:rFonts w:ascii="Arial" w:hAnsi="Arial" w:cs="Arial"/>
        </w:rPr>
        <w:t>nonché</w:t>
      </w:r>
      <w:r w:rsidRPr="00B83170">
        <w:rPr>
          <w:rFonts w:ascii="Arial" w:hAnsi="Arial" w:cs="Arial"/>
        </w:rPr>
        <w:t xml:space="preserve"> la concezione di una sorta di competenza esclusiva dell’AEEGSI</w:t>
      </w:r>
      <w:r w:rsidR="00FF6362" w:rsidRPr="00B83170">
        <w:rPr>
          <w:rFonts w:ascii="Arial" w:hAnsi="Arial" w:cs="Arial"/>
        </w:rPr>
        <w:t xml:space="preserve"> </w:t>
      </w:r>
      <w:r w:rsidR="00952125" w:rsidRPr="00B83170">
        <w:rPr>
          <w:rFonts w:ascii="Arial" w:hAnsi="Arial" w:cs="Arial"/>
        </w:rPr>
        <w:t>di</w:t>
      </w:r>
      <w:r w:rsidRPr="00B83170">
        <w:rPr>
          <w:rFonts w:ascii="Arial" w:hAnsi="Arial" w:cs="Arial"/>
        </w:rPr>
        <w:t xml:space="preserve"> regolare il mercato energetico, sembrano determinare una </w:t>
      </w:r>
      <w:r w:rsidR="00B27BAE" w:rsidRPr="00B83170">
        <w:rPr>
          <w:rFonts w:ascii="Arial" w:hAnsi="Arial" w:cs="Arial"/>
        </w:rPr>
        <w:t>certa</w:t>
      </w:r>
      <w:r w:rsidRPr="00B83170">
        <w:rPr>
          <w:rFonts w:ascii="Arial" w:hAnsi="Arial" w:cs="Arial"/>
        </w:rPr>
        <w:t xml:space="preserve"> evanescenza della regola sulla modalità del riesercizio del potere enunciata (o ricavabile) nella sentenza di annullamento.</w:t>
      </w:r>
    </w:p>
    <w:p w:rsidR="00952125" w:rsidRPr="00B83170" w:rsidRDefault="00952125" w:rsidP="00B83170">
      <w:pPr>
        <w:spacing w:after="0" w:line="260" w:lineRule="exact"/>
        <w:ind w:firstLine="284"/>
        <w:jc w:val="both"/>
        <w:rPr>
          <w:rFonts w:ascii="Arial" w:hAnsi="Arial" w:cs="Arial"/>
        </w:rPr>
      </w:pPr>
      <w:r w:rsidRPr="00B83170">
        <w:rPr>
          <w:rFonts w:ascii="Arial" w:hAnsi="Arial" w:cs="Arial"/>
        </w:rPr>
        <w:t xml:space="preserve">In tal senso sembra infatti ragionare la VI sezione del Consiglio di Stato nella sentenza </w:t>
      </w:r>
      <w:r w:rsidR="00CC6CE3">
        <w:rPr>
          <w:rFonts w:ascii="Arial" w:hAnsi="Arial" w:cs="Arial"/>
        </w:rPr>
        <w:t>8 luglio 2014</w:t>
      </w:r>
      <w:r w:rsidRPr="00B83170">
        <w:rPr>
          <w:rFonts w:ascii="Arial" w:hAnsi="Arial" w:cs="Arial"/>
        </w:rPr>
        <w:t>, n. 3465</w:t>
      </w:r>
      <w:r w:rsidR="00487FA9">
        <w:rPr>
          <w:rStyle w:val="Rimandonotaapidipagina"/>
          <w:rFonts w:ascii="Arial" w:hAnsi="Arial" w:cs="Arial"/>
        </w:rPr>
        <w:footnoteReference w:id="35"/>
      </w:r>
      <w:r w:rsidRPr="00B83170">
        <w:rPr>
          <w:rFonts w:ascii="Arial" w:hAnsi="Arial" w:cs="Arial"/>
        </w:rPr>
        <w:t>.</w:t>
      </w:r>
    </w:p>
    <w:p w:rsidR="00952125" w:rsidRPr="00B83170" w:rsidRDefault="007450EA" w:rsidP="00B83170">
      <w:pPr>
        <w:spacing w:after="0" w:line="260" w:lineRule="exact"/>
        <w:ind w:firstLine="284"/>
        <w:jc w:val="both"/>
        <w:rPr>
          <w:rFonts w:ascii="Arial" w:hAnsi="Arial" w:cs="Arial"/>
        </w:rPr>
      </w:pPr>
      <w:r w:rsidRPr="00B83170">
        <w:rPr>
          <w:rFonts w:ascii="Arial" w:hAnsi="Arial" w:cs="Arial"/>
        </w:rPr>
        <w:t>Trattasi di giudizio per l’ottemperanza della sentenza con la quale il Consiglio di Stato</w:t>
      </w:r>
      <w:r w:rsidR="00B27BAE" w:rsidRPr="00B83170">
        <w:rPr>
          <w:rFonts w:ascii="Arial" w:hAnsi="Arial" w:cs="Arial"/>
        </w:rPr>
        <w:t>,</w:t>
      </w:r>
      <w:r w:rsidRPr="00B83170">
        <w:rPr>
          <w:rFonts w:ascii="Arial" w:hAnsi="Arial" w:cs="Arial"/>
        </w:rPr>
        <w:t xml:space="preserve"> in parziale riforma della sentenza di primo grado</w:t>
      </w:r>
      <w:r w:rsidR="00B27BAE" w:rsidRPr="00B83170">
        <w:rPr>
          <w:rStyle w:val="Rimandonotaapidipagina"/>
          <w:rFonts w:ascii="Arial" w:hAnsi="Arial" w:cs="Arial"/>
        </w:rPr>
        <w:footnoteReference w:id="36"/>
      </w:r>
      <w:r w:rsidRPr="00B83170">
        <w:rPr>
          <w:rFonts w:ascii="Arial" w:hAnsi="Arial" w:cs="Arial"/>
        </w:rPr>
        <w:t xml:space="preserve"> </w:t>
      </w:r>
      <w:r w:rsidR="00FF6362" w:rsidRPr="00B83170">
        <w:rPr>
          <w:rFonts w:ascii="Arial" w:hAnsi="Arial" w:cs="Arial"/>
        </w:rPr>
        <w:t>ha</w:t>
      </w:r>
      <w:r w:rsidRPr="00B83170">
        <w:rPr>
          <w:rFonts w:ascii="Arial" w:hAnsi="Arial" w:cs="Arial"/>
        </w:rPr>
        <w:t xml:space="preserve"> accolto il ricorso della società ricorrente attiva nel settore di produzione di energia da fonti rinnovabili contro la delibera di determinazione del </w:t>
      </w:r>
      <w:r w:rsidR="00B27BAE" w:rsidRPr="00B83170">
        <w:rPr>
          <w:rFonts w:ascii="Arial" w:hAnsi="Arial" w:cs="Arial"/>
        </w:rPr>
        <w:t xml:space="preserve">costo </w:t>
      </w:r>
      <w:r w:rsidRPr="00B83170">
        <w:rPr>
          <w:rFonts w:ascii="Arial" w:eastAsia="Times New Roman" w:hAnsi="Arial" w:cs="Arial"/>
          <w:color w:val="000000"/>
          <w:lang w:eastAsia="it-IT"/>
        </w:rPr>
        <w:t>evitato del combustibile (“CEC”) necessario per la determinazione del prezzo incentivante di cui alla delibera CIP-6/92 (in sostanza la ricorrente lamentava una erronea determinazione del CEC che si ripercuoteva sulla misura del prezzo incentivante ad essa società spettante).</w:t>
      </w:r>
    </w:p>
    <w:p w:rsidR="00C80E21" w:rsidRPr="00B83170" w:rsidRDefault="00D4116D" w:rsidP="00B83170">
      <w:pPr>
        <w:spacing w:after="0" w:line="260" w:lineRule="exact"/>
        <w:ind w:firstLine="284"/>
        <w:jc w:val="both"/>
        <w:rPr>
          <w:rFonts w:ascii="Arial" w:eastAsia="Times New Roman" w:hAnsi="Arial" w:cs="Arial"/>
          <w:iCs/>
          <w:color w:val="000000"/>
          <w:lang w:eastAsia="it-IT"/>
        </w:rPr>
      </w:pPr>
      <w:r w:rsidRPr="00B83170">
        <w:rPr>
          <w:rFonts w:ascii="Arial" w:eastAsia="Times New Roman" w:hAnsi="Arial" w:cs="Arial"/>
          <w:iCs/>
          <w:color w:val="000000"/>
          <w:lang w:eastAsia="it-IT"/>
        </w:rPr>
        <w:t>I</w:t>
      </w:r>
      <w:r w:rsidR="007450EA" w:rsidRPr="00B83170">
        <w:rPr>
          <w:rFonts w:ascii="Arial" w:eastAsia="Times New Roman" w:hAnsi="Arial" w:cs="Arial"/>
          <w:iCs/>
          <w:color w:val="000000"/>
          <w:lang w:eastAsia="it-IT"/>
        </w:rPr>
        <w:t xml:space="preserve">l giudicato </w:t>
      </w:r>
      <w:r w:rsidR="00C80E21" w:rsidRPr="00B83170">
        <w:rPr>
          <w:rFonts w:ascii="Arial" w:eastAsia="Times New Roman" w:hAnsi="Arial" w:cs="Arial"/>
          <w:iCs/>
          <w:color w:val="000000"/>
          <w:lang w:eastAsia="it-IT"/>
        </w:rPr>
        <w:t>affermava</w:t>
      </w:r>
      <w:r w:rsidR="007450EA" w:rsidRPr="00B83170">
        <w:rPr>
          <w:rFonts w:ascii="Arial" w:eastAsia="Times New Roman" w:hAnsi="Arial" w:cs="Arial"/>
          <w:iCs/>
          <w:color w:val="000000"/>
          <w:lang w:eastAsia="it-IT"/>
        </w:rPr>
        <w:t xml:space="preserve"> </w:t>
      </w:r>
      <w:r w:rsidR="00C80E21" w:rsidRPr="00B83170">
        <w:rPr>
          <w:rFonts w:ascii="Arial" w:eastAsia="Times New Roman" w:hAnsi="Arial" w:cs="Arial"/>
          <w:iCs/>
          <w:color w:val="000000"/>
          <w:lang w:eastAsia="it-IT"/>
        </w:rPr>
        <w:t>come principio di diritto la necessità</w:t>
      </w:r>
      <w:r w:rsidR="007450EA" w:rsidRPr="00B83170">
        <w:rPr>
          <w:rFonts w:ascii="Arial" w:eastAsia="Times New Roman" w:hAnsi="Arial" w:cs="Arial"/>
          <w:iCs/>
          <w:color w:val="000000"/>
          <w:lang w:eastAsia="it-IT"/>
        </w:rPr>
        <w:t xml:space="preserve"> di determinazione del CEC sulla base dei costi di mercato, da desumersi dal mercato del gas naturale fornito alle centrali termoelettriche</w:t>
      </w:r>
      <w:r w:rsidR="00C80E21" w:rsidRPr="00B83170">
        <w:rPr>
          <w:rFonts w:ascii="Arial" w:eastAsia="Times New Roman" w:hAnsi="Arial" w:cs="Arial"/>
          <w:iCs/>
          <w:color w:val="000000"/>
          <w:lang w:eastAsia="it-IT"/>
        </w:rPr>
        <w:t xml:space="preserve">, </w:t>
      </w:r>
      <w:r w:rsidR="00C64EE5" w:rsidRPr="00B83170">
        <w:rPr>
          <w:rFonts w:ascii="Arial" w:eastAsia="Times New Roman" w:hAnsi="Arial" w:cs="Arial"/>
          <w:iCs/>
          <w:color w:val="000000"/>
          <w:lang w:eastAsia="it-IT"/>
        </w:rPr>
        <w:t>secondo criteri dettati dalla sentenza medesima</w:t>
      </w:r>
      <w:r w:rsidR="00C64EE5" w:rsidRPr="00B83170">
        <w:rPr>
          <w:rStyle w:val="Rimandonotaapidipagina"/>
          <w:rFonts w:ascii="Arial" w:eastAsia="Times New Roman" w:hAnsi="Arial" w:cs="Arial"/>
          <w:iCs/>
          <w:color w:val="000000"/>
          <w:lang w:eastAsia="it-IT"/>
        </w:rPr>
        <w:footnoteReference w:id="37"/>
      </w:r>
      <w:r w:rsidRPr="00B83170">
        <w:rPr>
          <w:rFonts w:ascii="Arial" w:eastAsia="Times New Roman" w:hAnsi="Arial" w:cs="Arial"/>
          <w:iCs/>
          <w:color w:val="000000"/>
          <w:lang w:eastAsia="it-IT"/>
        </w:rPr>
        <w:t>.</w:t>
      </w:r>
    </w:p>
    <w:p w:rsidR="00952125" w:rsidRPr="00B83170" w:rsidRDefault="00D4116D" w:rsidP="00B83170">
      <w:pPr>
        <w:spacing w:after="0" w:line="260" w:lineRule="exact"/>
        <w:ind w:firstLine="284"/>
        <w:jc w:val="both"/>
        <w:rPr>
          <w:rFonts w:ascii="Arial" w:eastAsia="Times New Roman" w:hAnsi="Arial" w:cs="Arial"/>
          <w:color w:val="000000"/>
          <w:lang w:eastAsia="it-IT"/>
        </w:rPr>
      </w:pPr>
      <w:r w:rsidRPr="00B83170">
        <w:rPr>
          <w:rFonts w:ascii="Arial" w:eastAsia="Times New Roman" w:hAnsi="Arial" w:cs="Arial"/>
          <w:color w:val="000000"/>
          <w:lang w:eastAsia="it-IT"/>
        </w:rPr>
        <w:t xml:space="preserve">Nel respingere il ricorso il G.A. </w:t>
      </w:r>
      <w:r w:rsidR="00FF6362" w:rsidRPr="00B83170">
        <w:rPr>
          <w:rFonts w:ascii="Arial" w:eastAsia="Times New Roman" w:hAnsi="Arial" w:cs="Arial"/>
          <w:color w:val="000000"/>
          <w:lang w:eastAsia="it-IT"/>
        </w:rPr>
        <w:t xml:space="preserve">ha </w:t>
      </w:r>
      <w:r w:rsidRPr="00B83170">
        <w:rPr>
          <w:rFonts w:ascii="Arial" w:eastAsia="Times New Roman" w:hAnsi="Arial" w:cs="Arial"/>
          <w:color w:val="000000"/>
          <w:lang w:eastAsia="it-IT"/>
        </w:rPr>
        <w:t>afferma</w:t>
      </w:r>
      <w:r w:rsidR="00FF6362" w:rsidRPr="00B83170">
        <w:rPr>
          <w:rFonts w:ascii="Arial" w:eastAsia="Times New Roman" w:hAnsi="Arial" w:cs="Arial"/>
          <w:color w:val="000000"/>
          <w:lang w:eastAsia="it-IT"/>
        </w:rPr>
        <w:t>to</w:t>
      </w:r>
      <w:r w:rsidRPr="00B83170">
        <w:rPr>
          <w:rFonts w:ascii="Arial" w:eastAsia="Times New Roman" w:hAnsi="Arial" w:cs="Arial"/>
          <w:color w:val="000000"/>
          <w:lang w:eastAsia="it-IT"/>
        </w:rPr>
        <w:t xml:space="preserve"> che le prescrizioni del giudicato di annullamento non dovessero intendersi come «</w:t>
      </w:r>
      <w:r w:rsidRPr="00B83170">
        <w:rPr>
          <w:rFonts w:ascii="Arial" w:eastAsia="Times New Roman" w:hAnsi="Arial" w:cs="Arial"/>
          <w:i/>
          <w:color w:val="000000"/>
          <w:lang w:eastAsia="it-IT"/>
        </w:rPr>
        <w:t xml:space="preserve">rigidamente prescrittive in ordine alle modalità attraverso le quali individuare il prezzo di riferimento (anche perché un siffatto contenuto avrebbe esulato dai confini propri del vaglio esercitabile dal giudice amministrativo nei confronti dell’esercizio di un’attività regolatrice connotata da lata discrezionalità tecnica)» </w:t>
      </w:r>
      <w:r w:rsidRPr="00B83170">
        <w:rPr>
          <w:rFonts w:ascii="Arial" w:eastAsia="Times New Roman" w:hAnsi="Arial" w:cs="Arial"/>
          <w:color w:val="000000"/>
          <w:lang w:eastAsia="it-IT"/>
        </w:rPr>
        <w:t>e che</w:t>
      </w:r>
      <w:r w:rsidRPr="00B83170">
        <w:rPr>
          <w:rFonts w:ascii="Arial" w:eastAsia="Times New Roman" w:hAnsi="Arial" w:cs="Arial"/>
          <w:i/>
          <w:color w:val="000000"/>
          <w:lang w:eastAsia="it-IT"/>
        </w:rPr>
        <w:t xml:space="preserve"> </w:t>
      </w:r>
      <w:r w:rsidRPr="00B83170">
        <w:rPr>
          <w:rFonts w:ascii="Arial" w:eastAsia="Times New Roman" w:hAnsi="Arial" w:cs="Arial"/>
          <w:color w:val="000000"/>
          <w:lang w:eastAsia="it-IT"/>
        </w:rPr>
        <w:t>non fosse possibile attribuire al</w:t>
      </w:r>
      <w:r w:rsidR="00061EF0" w:rsidRPr="00B83170">
        <w:rPr>
          <w:rFonts w:ascii="Arial" w:eastAsia="Times New Roman" w:hAnsi="Arial" w:cs="Arial"/>
          <w:color w:val="000000"/>
          <w:lang w:eastAsia="it-IT"/>
        </w:rPr>
        <w:t xml:space="preserve"> suddetto principio di diritto </w:t>
      </w:r>
      <w:r w:rsidR="00D55521" w:rsidRPr="00B83170">
        <w:rPr>
          <w:rFonts w:ascii="Arial" w:eastAsia="Times New Roman" w:hAnsi="Arial" w:cs="Arial"/>
          <w:color w:val="000000"/>
          <w:lang w:eastAsia="it-IT"/>
        </w:rPr>
        <w:t>«</w:t>
      </w:r>
      <w:r w:rsidR="00952125" w:rsidRPr="00B83170">
        <w:rPr>
          <w:rFonts w:ascii="Arial" w:eastAsia="Times New Roman" w:hAnsi="Arial" w:cs="Arial"/>
          <w:i/>
          <w:color w:val="000000"/>
          <w:lang w:eastAsia="it-IT"/>
        </w:rPr>
        <w:t>un significato tale da aver imposto all’Autorità, in sede di riesercizio del potere, un preciso vincolo nel </w:t>
      </w:r>
      <w:r w:rsidR="00952125" w:rsidRPr="00B83170">
        <w:rPr>
          <w:rFonts w:ascii="Arial" w:eastAsia="Times New Roman" w:hAnsi="Arial" w:cs="Arial"/>
          <w:i/>
          <w:iCs/>
          <w:color w:val="000000"/>
          <w:lang w:eastAsia="it-IT"/>
        </w:rPr>
        <w:t>quomodo</w:t>
      </w:r>
      <w:r w:rsidR="00952125" w:rsidRPr="00B83170">
        <w:rPr>
          <w:rFonts w:ascii="Arial" w:eastAsia="Times New Roman" w:hAnsi="Arial" w:cs="Arial"/>
          <w:i/>
          <w:color w:val="000000"/>
          <w:lang w:eastAsia="it-IT"/>
        </w:rPr>
        <w:t>, sino a vincolarne in modo pressoché totale l’attività conformativa e sino a determinare la nullità dei conseguenti atti conformativi laddove divergenti, sia pure in una parte minore, rispetto al vincolo in tal modo imposto</w:t>
      </w:r>
      <w:r w:rsidR="00D55521" w:rsidRPr="00B83170">
        <w:rPr>
          <w:rFonts w:ascii="Arial" w:eastAsia="Times New Roman" w:hAnsi="Arial" w:cs="Arial"/>
          <w:i/>
          <w:color w:val="000000"/>
          <w:lang w:eastAsia="it-IT"/>
        </w:rPr>
        <w:t>»</w:t>
      </w:r>
      <w:r w:rsidR="00952125" w:rsidRPr="00B83170">
        <w:rPr>
          <w:rFonts w:ascii="Arial" w:eastAsia="Times New Roman" w:hAnsi="Arial" w:cs="Arial"/>
          <w:color w:val="000000"/>
          <w:lang w:eastAsia="it-IT"/>
        </w:rPr>
        <w:t>.</w:t>
      </w:r>
    </w:p>
    <w:p w:rsidR="00D4116D" w:rsidRPr="00B83170" w:rsidRDefault="00E4191E" w:rsidP="00B83170">
      <w:pPr>
        <w:spacing w:after="0" w:line="260" w:lineRule="exact"/>
        <w:ind w:firstLine="284"/>
        <w:jc w:val="both"/>
        <w:rPr>
          <w:rFonts w:ascii="Arial" w:eastAsia="Times New Roman" w:hAnsi="Arial" w:cs="Arial"/>
          <w:color w:val="000000"/>
          <w:lang w:eastAsia="it-IT"/>
        </w:rPr>
      </w:pPr>
      <w:r w:rsidRPr="00B83170">
        <w:rPr>
          <w:rFonts w:ascii="Arial" w:eastAsia="Times New Roman" w:hAnsi="Arial" w:cs="Arial"/>
          <w:color w:val="000000"/>
          <w:lang w:eastAsia="it-IT"/>
        </w:rPr>
        <w:lastRenderedPageBreak/>
        <w:t>Da</w:t>
      </w:r>
      <w:r w:rsidR="00D4116D" w:rsidRPr="00B83170">
        <w:rPr>
          <w:rFonts w:ascii="Arial" w:eastAsia="Times New Roman" w:hAnsi="Arial" w:cs="Arial"/>
          <w:color w:val="000000"/>
          <w:lang w:eastAsia="it-IT"/>
        </w:rPr>
        <w:t xml:space="preserve"> questi passaggi motivazionali </w:t>
      </w:r>
      <w:r w:rsidRPr="00B83170">
        <w:rPr>
          <w:rFonts w:ascii="Arial" w:eastAsia="Times New Roman" w:hAnsi="Arial" w:cs="Arial"/>
          <w:color w:val="000000"/>
          <w:lang w:eastAsia="it-IT"/>
        </w:rPr>
        <w:t>parrebbe</w:t>
      </w:r>
      <w:r w:rsidR="004118BF" w:rsidRPr="00B83170">
        <w:rPr>
          <w:rFonts w:ascii="Arial" w:eastAsia="Times New Roman" w:hAnsi="Arial" w:cs="Arial"/>
          <w:color w:val="000000"/>
          <w:lang w:eastAsia="it-IT"/>
        </w:rPr>
        <w:t xml:space="preserve"> che</w:t>
      </w:r>
      <w:r w:rsidRPr="00B83170">
        <w:rPr>
          <w:rFonts w:ascii="Arial" w:eastAsia="Times New Roman" w:hAnsi="Arial" w:cs="Arial"/>
          <w:color w:val="000000"/>
          <w:lang w:eastAsia="it-IT"/>
        </w:rPr>
        <w:t xml:space="preserve"> in capo al G.A.</w:t>
      </w:r>
      <w:r w:rsidR="004118BF" w:rsidRPr="00B83170">
        <w:rPr>
          <w:rFonts w:ascii="Arial" w:eastAsia="Times New Roman" w:hAnsi="Arial" w:cs="Arial"/>
          <w:color w:val="000000"/>
          <w:lang w:eastAsia="it-IT"/>
        </w:rPr>
        <w:t xml:space="preserve"> vi sia</w:t>
      </w:r>
      <w:r w:rsidRPr="00B83170">
        <w:rPr>
          <w:rFonts w:ascii="Arial" w:eastAsia="Times New Roman" w:hAnsi="Arial" w:cs="Arial"/>
          <w:color w:val="000000"/>
          <w:lang w:eastAsia="it-IT"/>
        </w:rPr>
        <w:t xml:space="preserve"> </w:t>
      </w:r>
      <w:r w:rsidR="007174CF" w:rsidRPr="00B83170">
        <w:rPr>
          <w:rFonts w:ascii="Arial" w:eastAsia="Times New Roman" w:hAnsi="Arial" w:cs="Arial"/>
          <w:color w:val="000000"/>
          <w:lang w:eastAsia="it-IT"/>
        </w:rPr>
        <w:t xml:space="preserve">l’idea </w:t>
      </w:r>
      <w:r w:rsidRPr="00B83170">
        <w:rPr>
          <w:rFonts w:ascii="Arial" w:eastAsia="Times New Roman" w:hAnsi="Arial" w:cs="Arial"/>
          <w:color w:val="000000"/>
          <w:lang w:eastAsia="it-IT"/>
        </w:rPr>
        <w:t xml:space="preserve">di </w:t>
      </w:r>
      <w:r w:rsidR="00D4116D" w:rsidRPr="00B83170">
        <w:rPr>
          <w:rFonts w:ascii="Arial" w:eastAsia="Times New Roman" w:hAnsi="Arial" w:cs="Arial"/>
          <w:color w:val="000000"/>
          <w:lang w:eastAsia="it-IT"/>
        </w:rPr>
        <w:t>una sorta di limitazione dell’effetto conformativo della sentenza di annullamento di provvedimenti regolatori dell’AEEGSI.</w:t>
      </w:r>
    </w:p>
    <w:p w:rsidR="00D4116D" w:rsidRPr="00B83170" w:rsidRDefault="00E71563" w:rsidP="00B83170">
      <w:pPr>
        <w:spacing w:after="0" w:line="260" w:lineRule="exact"/>
        <w:ind w:firstLine="284"/>
        <w:jc w:val="both"/>
        <w:rPr>
          <w:rFonts w:ascii="Arial" w:eastAsia="Times New Roman" w:hAnsi="Arial" w:cs="Arial"/>
          <w:color w:val="000000"/>
          <w:lang w:eastAsia="it-IT"/>
        </w:rPr>
      </w:pPr>
      <w:r w:rsidRPr="00B83170">
        <w:rPr>
          <w:rFonts w:ascii="Arial" w:eastAsia="Times New Roman" w:hAnsi="Arial" w:cs="Arial"/>
          <w:color w:val="000000"/>
          <w:lang w:eastAsia="it-IT"/>
        </w:rPr>
        <w:t>Osservando altre pronunce però, pare cogliersi un’ulteriore tendenza, ovverosia il tentativo del G.A. di fornire delle coordinate più precise per l’attuazione del giudicato</w:t>
      </w:r>
      <w:r w:rsidR="00F15159" w:rsidRPr="00B83170">
        <w:rPr>
          <w:rFonts w:ascii="Arial" w:eastAsia="Times New Roman" w:hAnsi="Arial" w:cs="Arial"/>
          <w:color w:val="000000"/>
          <w:lang w:eastAsia="it-IT"/>
        </w:rPr>
        <w:t>, sempre però facendo salva l’ampia discrezionalità dell’AEEGSI.</w:t>
      </w:r>
    </w:p>
    <w:p w:rsidR="00E71563" w:rsidRPr="00B83170" w:rsidRDefault="00E71563" w:rsidP="00B83170">
      <w:pPr>
        <w:spacing w:after="0" w:line="260" w:lineRule="exact"/>
        <w:ind w:firstLine="284"/>
        <w:jc w:val="both"/>
        <w:rPr>
          <w:rFonts w:ascii="Arial" w:eastAsia="Times New Roman" w:hAnsi="Arial" w:cs="Arial"/>
          <w:color w:val="000000"/>
          <w:lang w:eastAsia="it-IT"/>
        </w:rPr>
      </w:pPr>
      <w:r w:rsidRPr="00B83170">
        <w:rPr>
          <w:rFonts w:ascii="Arial" w:eastAsia="Times New Roman" w:hAnsi="Arial" w:cs="Arial"/>
          <w:color w:val="000000"/>
          <w:lang w:eastAsia="it-IT"/>
        </w:rPr>
        <w:t xml:space="preserve">La soluzione che in particolare si riscontra </w:t>
      </w:r>
      <w:r w:rsidR="00F15159" w:rsidRPr="00B83170">
        <w:rPr>
          <w:rFonts w:ascii="Arial" w:eastAsia="Times New Roman" w:hAnsi="Arial" w:cs="Arial"/>
          <w:color w:val="000000"/>
          <w:lang w:eastAsia="it-IT"/>
        </w:rPr>
        <w:t xml:space="preserve">è quella di </w:t>
      </w:r>
      <w:r w:rsidRPr="00B83170">
        <w:rPr>
          <w:rFonts w:ascii="Arial" w:eastAsia="Times New Roman" w:hAnsi="Arial" w:cs="Arial"/>
          <w:color w:val="000000"/>
          <w:lang w:eastAsia="it-IT"/>
        </w:rPr>
        <w:t xml:space="preserve">accompagnare le prescrizioni per il riesercizio del potere </w:t>
      </w:r>
      <w:r w:rsidR="00F637B0" w:rsidRPr="00B83170">
        <w:rPr>
          <w:rFonts w:ascii="Arial" w:eastAsia="Times New Roman" w:hAnsi="Arial" w:cs="Arial"/>
          <w:color w:val="000000"/>
          <w:lang w:eastAsia="it-IT"/>
        </w:rPr>
        <w:t>con</w:t>
      </w:r>
      <w:r w:rsidRPr="00B83170">
        <w:rPr>
          <w:rFonts w:ascii="Arial" w:eastAsia="Times New Roman" w:hAnsi="Arial" w:cs="Arial"/>
          <w:color w:val="000000"/>
          <w:lang w:eastAsia="it-IT"/>
        </w:rPr>
        <w:t xml:space="preserve"> una esemplificazione, che si sottolinea, non essere vincolante per l’Amministrazione nel riesercizio del potere, ma che può fungere da guida per l’interpretazione e applicazione delle coordinate correttive (secondo una tecnica che sembra inquadrarsi nelle misure idonee per l’attuazione del giudicato di cui all’art. 34, comma 1, lett. e</w:t>
      </w:r>
      <w:r w:rsidR="00324B16">
        <w:rPr>
          <w:rFonts w:ascii="Arial" w:eastAsia="Times New Roman" w:hAnsi="Arial" w:cs="Arial"/>
          <w:color w:val="000000"/>
          <w:lang w:eastAsia="it-IT"/>
        </w:rPr>
        <w:t>)</w:t>
      </w:r>
      <w:r w:rsidRPr="00B83170">
        <w:rPr>
          <w:rFonts w:ascii="Arial" w:eastAsia="Times New Roman" w:hAnsi="Arial" w:cs="Arial"/>
          <w:color w:val="000000"/>
          <w:lang w:eastAsia="it-IT"/>
        </w:rPr>
        <w:t xml:space="preserve">, c.p.a.) </w:t>
      </w:r>
      <w:r w:rsidRPr="00B83170">
        <w:rPr>
          <w:rStyle w:val="Rimandonotaapidipagina"/>
          <w:rFonts w:ascii="Arial" w:eastAsia="Times New Roman" w:hAnsi="Arial" w:cs="Arial"/>
          <w:color w:val="000000"/>
          <w:lang w:eastAsia="it-IT"/>
        </w:rPr>
        <w:footnoteReference w:id="38"/>
      </w:r>
      <w:r w:rsidRPr="00B83170">
        <w:rPr>
          <w:rFonts w:ascii="Arial" w:eastAsia="Times New Roman" w:hAnsi="Arial" w:cs="Arial"/>
          <w:color w:val="000000"/>
          <w:lang w:eastAsia="it-IT"/>
        </w:rPr>
        <w:t>.</w:t>
      </w:r>
    </w:p>
    <w:p w:rsidR="00E71563" w:rsidRPr="00B83170" w:rsidRDefault="00E71563" w:rsidP="00B83170">
      <w:pPr>
        <w:spacing w:after="0" w:line="260" w:lineRule="exact"/>
        <w:ind w:firstLine="284"/>
        <w:jc w:val="both"/>
        <w:rPr>
          <w:rFonts w:ascii="Arial" w:eastAsia="Times New Roman" w:hAnsi="Arial" w:cs="Arial"/>
          <w:color w:val="000000"/>
          <w:lang w:eastAsia="it-IT"/>
        </w:rPr>
      </w:pPr>
      <w:r w:rsidRPr="00B83170">
        <w:rPr>
          <w:rFonts w:ascii="Arial" w:eastAsia="Times New Roman" w:hAnsi="Arial" w:cs="Arial"/>
          <w:color w:val="000000"/>
          <w:lang w:eastAsia="it-IT"/>
        </w:rPr>
        <w:t>Così</w:t>
      </w:r>
      <w:r w:rsidR="00324B16">
        <w:rPr>
          <w:rFonts w:ascii="Arial" w:eastAsia="Times New Roman" w:hAnsi="Arial" w:cs="Arial"/>
          <w:color w:val="000000"/>
          <w:lang w:eastAsia="it-IT"/>
        </w:rPr>
        <w:t>,</w:t>
      </w:r>
      <w:r w:rsidRPr="00B83170">
        <w:rPr>
          <w:rFonts w:ascii="Arial" w:eastAsia="Times New Roman" w:hAnsi="Arial" w:cs="Arial"/>
          <w:color w:val="000000"/>
          <w:lang w:eastAsia="it-IT"/>
        </w:rPr>
        <w:t xml:space="preserve"> ad esempio</w:t>
      </w:r>
      <w:r w:rsidR="00324B16">
        <w:rPr>
          <w:rFonts w:ascii="Arial" w:eastAsia="Times New Roman" w:hAnsi="Arial" w:cs="Arial"/>
          <w:color w:val="000000"/>
          <w:lang w:eastAsia="it-IT"/>
        </w:rPr>
        <w:t>,</w:t>
      </w:r>
      <w:r w:rsidRPr="00B83170">
        <w:rPr>
          <w:rFonts w:ascii="Arial" w:eastAsia="Times New Roman" w:hAnsi="Arial" w:cs="Arial"/>
          <w:color w:val="000000"/>
          <w:lang w:eastAsia="it-IT"/>
        </w:rPr>
        <w:t xml:space="preserve"> accade nella sentenza</w:t>
      </w:r>
      <w:r w:rsidR="00324B16">
        <w:rPr>
          <w:rFonts w:ascii="Arial" w:eastAsia="Times New Roman" w:hAnsi="Arial" w:cs="Arial"/>
          <w:color w:val="000000"/>
          <w:lang w:eastAsia="it-IT"/>
        </w:rPr>
        <w:t xml:space="preserve"> </w:t>
      </w:r>
      <w:r w:rsidR="007E0EF7">
        <w:rPr>
          <w:rFonts w:ascii="Arial" w:eastAsia="Times New Roman" w:hAnsi="Arial" w:cs="Arial"/>
          <w:color w:val="000000"/>
          <w:lang w:eastAsia="it-IT"/>
        </w:rPr>
        <w:t xml:space="preserve">del Consiglio di Stato, VI, </w:t>
      </w:r>
      <w:r w:rsidR="00324B16">
        <w:rPr>
          <w:rFonts w:ascii="Arial" w:eastAsia="Times New Roman" w:hAnsi="Arial" w:cs="Arial"/>
          <w:color w:val="000000"/>
          <w:lang w:eastAsia="it-IT"/>
        </w:rPr>
        <w:t>11 settembre 2014, n. 4629</w:t>
      </w:r>
      <w:r w:rsidR="007E0EF7">
        <w:rPr>
          <w:rStyle w:val="Rimandonotaapidipagina"/>
          <w:rFonts w:ascii="Arial" w:eastAsia="Times New Roman" w:hAnsi="Arial" w:cs="Arial"/>
          <w:color w:val="000000"/>
          <w:lang w:eastAsia="it-IT"/>
        </w:rPr>
        <w:footnoteReference w:id="39"/>
      </w:r>
      <w:r w:rsidR="00324B16">
        <w:rPr>
          <w:rFonts w:ascii="Arial" w:eastAsia="Times New Roman" w:hAnsi="Arial" w:cs="Arial"/>
          <w:color w:val="000000"/>
          <w:lang w:eastAsia="it-IT"/>
        </w:rPr>
        <w:t>.</w:t>
      </w:r>
    </w:p>
    <w:p w:rsidR="00E71563" w:rsidRPr="00B83170" w:rsidRDefault="00E71563" w:rsidP="00B83170">
      <w:pPr>
        <w:spacing w:after="0" w:line="260" w:lineRule="exact"/>
        <w:ind w:firstLine="284"/>
        <w:jc w:val="both"/>
        <w:rPr>
          <w:rFonts w:ascii="Arial" w:eastAsia="Times New Roman" w:hAnsi="Arial" w:cs="Arial"/>
          <w:color w:val="000000"/>
          <w:lang w:eastAsia="it-IT"/>
        </w:rPr>
      </w:pPr>
      <w:r w:rsidRPr="00B83170">
        <w:rPr>
          <w:rFonts w:ascii="Arial" w:eastAsia="Times New Roman" w:hAnsi="Arial" w:cs="Arial"/>
          <w:color w:val="000000"/>
          <w:lang w:eastAsia="it-IT"/>
        </w:rPr>
        <w:t xml:space="preserve">Oggetto di contestazione da parte degli operatori </w:t>
      </w:r>
      <w:r w:rsidR="00F15159" w:rsidRPr="00B83170">
        <w:rPr>
          <w:rFonts w:ascii="Arial" w:eastAsia="Times New Roman" w:hAnsi="Arial" w:cs="Arial"/>
          <w:color w:val="000000"/>
          <w:lang w:eastAsia="it-IT"/>
        </w:rPr>
        <w:t>erano</w:t>
      </w:r>
      <w:r w:rsidRPr="00B83170">
        <w:rPr>
          <w:rFonts w:ascii="Arial" w:eastAsia="Times New Roman" w:hAnsi="Arial" w:cs="Arial"/>
          <w:color w:val="000000"/>
          <w:lang w:eastAsia="it-IT"/>
        </w:rPr>
        <w:t xml:space="preserve"> le forme di garanzie previste dall’AEEGSI in relazione ai crediti vantati dal Gestore del servizio di bilanciamento nei confronti degli utenti della rete. In particolare, tra le forme di garanzie la delibera prevede</w:t>
      </w:r>
      <w:r w:rsidR="00FE4093" w:rsidRPr="00B83170">
        <w:rPr>
          <w:rFonts w:ascii="Arial" w:eastAsia="Times New Roman" w:hAnsi="Arial" w:cs="Arial"/>
          <w:color w:val="000000"/>
          <w:lang w:eastAsia="it-IT"/>
        </w:rPr>
        <w:t>va</w:t>
      </w:r>
      <w:r w:rsidRPr="00B83170">
        <w:rPr>
          <w:rFonts w:ascii="Arial" w:eastAsia="Times New Roman" w:hAnsi="Arial" w:cs="Arial"/>
          <w:color w:val="000000"/>
          <w:lang w:eastAsia="it-IT"/>
        </w:rPr>
        <w:t>, tra le altre, il vincolo sul gas che i venditori hanno nelle riserve di stoccaggio, che, secondo la suddetta delibera, p</w:t>
      </w:r>
      <w:r w:rsidR="00FE4093" w:rsidRPr="00B83170">
        <w:rPr>
          <w:rFonts w:ascii="Arial" w:eastAsia="Times New Roman" w:hAnsi="Arial" w:cs="Arial"/>
          <w:color w:val="000000"/>
          <w:lang w:eastAsia="it-IT"/>
        </w:rPr>
        <w:t>oteva</w:t>
      </w:r>
      <w:r w:rsidRPr="00B83170">
        <w:rPr>
          <w:rFonts w:ascii="Arial" w:eastAsia="Times New Roman" w:hAnsi="Arial" w:cs="Arial"/>
          <w:color w:val="000000"/>
          <w:lang w:eastAsia="it-IT"/>
        </w:rPr>
        <w:t xml:space="preserve"> costituire non più del 90% del totale delle garanzie prestate dall’utente e il cui valore viene ridotto del 10%.</w:t>
      </w:r>
    </w:p>
    <w:p w:rsidR="00E71563" w:rsidRPr="00B83170" w:rsidRDefault="00E71563" w:rsidP="00B83170">
      <w:pPr>
        <w:spacing w:after="0" w:line="260" w:lineRule="exact"/>
        <w:ind w:firstLine="284"/>
        <w:jc w:val="both"/>
        <w:rPr>
          <w:rFonts w:ascii="Arial" w:eastAsia="Times New Roman" w:hAnsi="Arial" w:cs="Arial"/>
          <w:color w:val="000000"/>
          <w:lang w:eastAsia="it-IT"/>
        </w:rPr>
      </w:pPr>
      <w:r w:rsidRPr="00B83170">
        <w:rPr>
          <w:rFonts w:ascii="Arial" w:eastAsia="Times New Roman" w:hAnsi="Arial" w:cs="Arial"/>
          <w:color w:val="000000"/>
          <w:lang w:eastAsia="it-IT"/>
        </w:rPr>
        <w:t xml:space="preserve">Il </w:t>
      </w:r>
      <w:r w:rsidR="00D26FDD">
        <w:rPr>
          <w:rFonts w:ascii="Arial" w:eastAsia="Times New Roman" w:hAnsi="Arial" w:cs="Arial"/>
          <w:color w:val="000000"/>
          <w:lang w:eastAsia="it-IT"/>
        </w:rPr>
        <w:t>TAR</w:t>
      </w:r>
      <w:r w:rsidR="006B0BC4" w:rsidRPr="00B83170">
        <w:rPr>
          <w:rStyle w:val="Rimandonotaapidipagina"/>
          <w:rFonts w:ascii="Arial" w:eastAsia="Times New Roman" w:hAnsi="Arial" w:cs="Arial"/>
          <w:color w:val="000000"/>
          <w:lang w:eastAsia="it-IT"/>
        </w:rPr>
        <w:footnoteReference w:id="40"/>
      </w:r>
      <w:r w:rsidRPr="00B83170">
        <w:rPr>
          <w:rFonts w:ascii="Arial" w:eastAsia="Times New Roman" w:hAnsi="Arial" w:cs="Arial"/>
          <w:color w:val="000000"/>
          <w:lang w:eastAsia="it-IT"/>
        </w:rPr>
        <w:t xml:space="preserve"> </w:t>
      </w:r>
      <w:r w:rsidR="00FE4093" w:rsidRPr="00B83170">
        <w:rPr>
          <w:rFonts w:ascii="Arial" w:eastAsia="Times New Roman" w:hAnsi="Arial" w:cs="Arial"/>
          <w:color w:val="000000"/>
          <w:lang w:eastAsia="it-IT"/>
        </w:rPr>
        <w:t>aveva accolto</w:t>
      </w:r>
      <w:r w:rsidRPr="00B83170">
        <w:rPr>
          <w:rFonts w:ascii="Arial" w:eastAsia="Times New Roman" w:hAnsi="Arial" w:cs="Arial"/>
          <w:color w:val="000000"/>
          <w:lang w:eastAsia="it-IT"/>
        </w:rPr>
        <w:t>, tra gli altri, il motivo relativo all’irragionevolezza di tale previsione nella parte in cui  dispone l’abbattimento del valore del gas nella suddetta misura del 10%.</w:t>
      </w:r>
    </w:p>
    <w:p w:rsidR="00E71563" w:rsidRPr="00B83170" w:rsidRDefault="00E71563" w:rsidP="00B83170">
      <w:pPr>
        <w:spacing w:after="0" w:line="260" w:lineRule="exact"/>
        <w:ind w:firstLine="284"/>
        <w:jc w:val="both"/>
        <w:rPr>
          <w:rFonts w:ascii="Arial" w:eastAsia="Times New Roman" w:hAnsi="Arial" w:cs="Arial"/>
          <w:color w:val="000000"/>
          <w:lang w:eastAsia="it-IT"/>
        </w:rPr>
      </w:pPr>
      <w:r w:rsidRPr="00B83170">
        <w:rPr>
          <w:rFonts w:ascii="Arial" w:eastAsia="Times New Roman" w:hAnsi="Arial" w:cs="Arial"/>
          <w:color w:val="000000"/>
          <w:lang w:eastAsia="it-IT"/>
        </w:rPr>
        <w:t xml:space="preserve">Il Consiglio di Stato nel respingere </w:t>
      </w:r>
      <w:r w:rsidR="001A570B" w:rsidRPr="00B83170">
        <w:rPr>
          <w:rFonts w:ascii="Arial" w:eastAsia="Times New Roman" w:hAnsi="Arial" w:cs="Arial"/>
          <w:color w:val="000000"/>
          <w:lang w:eastAsia="it-IT"/>
        </w:rPr>
        <w:t>l’</w:t>
      </w:r>
      <w:r w:rsidRPr="00B83170">
        <w:rPr>
          <w:rFonts w:ascii="Arial" w:eastAsia="Times New Roman" w:hAnsi="Arial" w:cs="Arial"/>
          <w:color w:val="000000"/>
          <w:lang w:eastAsia="it-IT"/>
        </w:rPr>
        <w:t>appello</w:t>
      </w:r>
      <w:r w:rsidR="001A570B" w:rsidRPr="00B83170">
        <w:rPr>
          <w:rFonts w:ascii="Arial" w:eastAsia="Times New Roman" w:hAnsi="Arial" w:cs="Arial"/>
          <w:color w:val="000000"/>
          <w:lang w:eastAsia="it-IT"/>
        </w:rPr>
        <w:t xml:space="preserve"> dell’AEEGSI</w:t>
      </w:r>
      <w:r w:rsidRPr="00B83170">
        <w:rPr>
          <w:rFonts w:ascii="Arial" w:eastAsia="Times New Roman" w:hAnsi="Arial" w:cs="Arial"/>
          <w:color w:val="000000"/>
          <w:lang w:eastAsia="it-IT"/>
        </w:rPr>
        <w:t xml:space="preserve">, e dunque nel confermare l’irragionevolezza della previsione, </w:t>
      </w:r>
      <w:r w:rsidR="00FE4093" w:rsidRPr="00B83170">
        <w:rPr>
          <w:rFonts w:ascii="Arial" w:eastAsia="Times New Roman" w:hAnsi="Arial" w:cs="Arial"/>
          <w:color w:val="000000"/>
          <w:lang w:eastAsia="it-IT"/>
        </w:rPr>
        <w:t>ha indicato</w:t>
      </w:r>
      <w:r w:rsidRPr="00B83170">
        <w:rPr>
          <w:rFonts w:ascii="Arial" w:eastAsia="Times New Roman" w:hAnsi="Arial" w:cs="Arial"/>
          <w:color w:val="000000"/>
          <w:lang w:eastAsia="it-IT"/>
        </w:rPr>
        <w:t xml:space="preserve"> le coordinate per la </w:t>
      </w:r>
      <w:r w:rsidR="001A570B" w:rsidRPr="00B83170">
        <w:rPr>
          <w:rFonts w:ascii="Arial" w:eastAsia="Times New Roman" w:hAnsi="Arial" w:cs="Arial"/>
          <w:color w:val="000000"/>
          <w:lang w:eastAsia="it-IT"/>
        </w:rPr>
        <w:t>correzione del criterio tecnico</w:t>
      </w:r>
      <w:r w:rsidRPr="00B83170">
        <w:rPr>
          <w:rFonts w:ascii="Arial" w:eastAsia="Times New Roman" w:hAnsi="Arial" w:cs="Arial"/>
          <w:color w:val="000000"/>
          <w:lang w:eastAsia="it-IT"/>
        </w:rPr>
        <w:t xml:space="preserve"> </w:t>
      </w:r>
      <w:r w:rsidR="001A570B" w:rsidRPr="00B83170">
        <w:rPr>
          <w:rFonts w:ascii="Arial" w:eastAsia="Times New Roman" w:hAnsi="Arial" w:cs="Arial"/>
          <w:color w:val="000000"/>
          <w:lang w:eastAsia="it-IT"/>
        </w:rPr>
        <w:t>aggiungendovi una</w:t>
      </w:r>
      <w:r w:rsidRPr="00B83170">
        <w:rPr>
          <w:rFonts w:ascii="Arial" w:eastAsia="Times New Roman" w:hAnsi="Arial" w:cs="Arial"/>
          <w:color w:val="000000"/>
          <w:lang w:eastAsia="it-IT"/>
        </w:rPr>
        <w:t xml:space="preserve"> possibile soluzione applicativa al fine di indicare all’Amministrazione c</w:t>
      </w:r>
      <w:r w:rsidR="005100B4" w:rsidRPr="00B83170">
        <w:rPr>
          <w:rFonts w:ascii="Arial" w:eastAsia="Times New Roman" w:hAnsi="Arial" w:cs="Arial"/>
          <w:color w:val="000000"/>
          <w:lang w:eastAsia="it-IT"/>
        </w:rPr>
        <w:t>osa debba intendersi per misura</w:t>
      </w:r>
      <w:r w:rsidRPr="00B83170">
        <w:rPr>
          <w:rFonts w:ascii="Arial" w:eastAsia="Times New Roman" w:hAnsi="Arial" w:cs="Arial"/>
          <w:color w:val="000000"/>
          <w:lang w:eastAsia="it-IT"/>
        </w:rPr>
        <w:t xml:space="preserve"> </w:t>
      </w:r>
      <w:r w:rsidR="001A570B" w:rsidRPr="00B83170">
        <w:rPr>
          <w:rFonts w:ascii="Arial" w:eastAsia="Times New Roman" w:hAnsi="Arial" w:cs="Arial"/>
          <w:color w:val="000000"/>
          <w:lang w:eastAsia="it-IT"/>
        </w:rPr>
        <w:t>ragionevole</w:t>
      </w:r>
      <w:r w:rsidRPr="00B83170">
        <w:rPr>
          <w:rFonts w:ascii="Arial" w:eastAsia="Times New Roman" w:hAnsi="Arial" w:cs="Arial"/>
          <w:color w:val="000000"/>
          <w:lang w:eastAsia="it-IT"/>
        </w:rPr>
        <w:t>, ferma restando l’autonomia della AEEGSI nella  scelta in concreto del meccanismo</w:t>
      </w:r>
      <w:r w:rsidR="001A570B" w:rsidRPr="00B83170">
        <w:rPr>
          <w:rStyle w:val="Rimandonotaapidipagina"/>
          <w:rFonts w:ascii="Arial" w:eastAsia="Times New Roman" w:hAnsi="Arial" w:cs="Arial"/>
          <w:color w:val="000000"/>
          <w:lang w:eastAsia="it-IT"/>
        </w:rPr>
        <w:footnoteReference w:id="41"/>
      </w:r>
      <w:r w:rsidRPr="00B83170">
        <w:rPr>
          <w:rFonts w:ascii="Arial" w:eastAsia="Times New Roman" w:hAnsi="Arial" w:cs="Arial"/>
          <w:color w:val="000000"/>
          <w:lang w:eastAsia="it-IT"/>
        </w:rPr>
        <w:t xml:space="preserve">. </w:t>
      </w:r>
    </w:p>
    <w:p w:rsidR="001A570B" w:rsidRPr="00B83170" w:rsidRDefault="00FF6362" w:rsidP="00B83170">
      <w:pPr>
        <w:spacing w:after="0" w:line="260" w:lineRule="exact"/>
        <w:ind w:firstLine="284"/>
        <w:jc w:val="both"/>
        <w:rPr>
          <w:rFonts w:ascii="Arial" w:hAnsi="Arial" w:cs="Arial"/>
        </w:rPr>
      </w:pPr>
      <w:r w:rsidRPr="00B83170">
        <w:rPr>
          <w:rFonts w:ascii="Arial" w:eastAsia="Times New Roman" w:hAnsi="Arial" w:cs="Arial"/>
          <w:color w:val="000000"/>
          <w:lang w:eastAsia="it-IT"/>
        </w:rPr>
        <w:t>Quanto</w:t>
      </w:r>
      <w:r w:rsidR="00E4191E" w:rsidRPr="00B83170">
        <w:rPr>
          <w:rFonts w:ascii="Arial" w:eastAsia="Times New Roman" w:hAnsi="Arial" w:cs="Arial"/>
          <w:color w:val="000000"/>
          <w:lang w:eastAsia="it-IT"/>
        </w:rPr>
        <w:t xml:space="preserve"> ai poteri sostitutivi del giudice dell’ottemperanza in ordine ai provvedimenti regolatori, viene in rilievo la sentenza</w:t>
      </w:r>
      <w:r w:rsidR="00CC7351">
        <w:rPr>
          <w:rFonts w:ascii="Arial" w:eastAsia="Times New Roman" w:hAnsi="Arial" w:cs="Arial"/>
          <w:color w:val="000000"/>
          <w:lang w:eastAsia="it-IT"/>
        </w:rPr>
        <w:t xml:space="preserve"> del TAR Lombardia, Milano, III,</w:t>
      </w:r>
      <w:r w:rsidR="00E4191E" w:rsidRPr="00B83170">
        <w:rPr>
          <w:rFonts w:ascii="Arial" w:eastAsia="Times New Roman" w:hAnsi="Arial" w:cs="Arial"/>
          <w:color w:val="000000"/>
          <w:lang w:eastAsia="it-IT"/>
        </w:rPr>
        <w:t xml:space="preserve"> </w:t>
      </w:r>
      <w:r w:rsidR="00324B16">
        <w:rPr>
          <w:rFonts w:ascii="Arial" w:eastAsia="Times New Roman" w:hAnsi="Arial" w:cs="Arial"/>
          <w:color w:val="000000"/>
          <w:lang w:eastAsia="it-IT"/>
        </w:rPr>
        <w:t>22 maggio 2014, n. 1325</w:t>
      </w:r>
      <w:r w:rsidR="007E0EF7">
        <w:rPr>
          <w:rStyle w:val="Rimandonotaapidipagina"/>
          <w:rFonts w:ascii="Arial" w:eastAsia="Times New Roman" w:hAnsi="Arial" w:cs="Arial"/>
          <w:color w:val="000000"/>
          <w:lang w:eastAsia="it-IT"/>
        </w:rPr>
        <w:footnoteReference w:id="42"/>
      </w:r>
      <w:r w:rsidR="00CC7351">
        <w:rPr>
          <w:rFonts w:ascii="Arial" w:eastAsia="Times New Roman" w:hAnsi="Arial" w:cs="Arial"/>
          <w:color w:val="000000"/>
          <w:lang w:eastAsia="it-IT"/>
        </w:rPr>
        <w:t>.</w:t>
      </w:r>
    </w:p>
    <w:p w:rsidR="00E71563" w:rsidRPr="00B83170" w:rsidRDefault="0069773C" w:rsidP="00B83170">
      <w:pPr>
        <w:spacing w:after="0" w:line="260" w:lineRule="exact"/>
        <w:ind w:firstLine="284"/>
        <w:jc w:val="both"/>
        <w:rPr>
          <w:rFonts w:ascii="Arial" w:hAnsi="Arial" w:cs="Arial"/>
        </w:rPr>
      </w:pPr>
      <w:r w:rsidRPr="00B83170">
        <w:rPr>
          <w:rFonts w:ascii="Arial" w:hAnsi="Arial" w:cs="Arial"/>
        </w:rPr>
        <w:t xml:space="preserve">La questione riguardava la mancata attuazione di un giudicato di annullamento in cui veniva sancita l’illegittimità delle delibere di approvazione delle tariffe per il servizio di stoccaggio del gas naturale per il mancato riconoscimento di costi, previsti invece </w:t>
      </w:r>
      <w:r w:rsidRPr="00B83170">
        <w:rPr>
          <w:rFonts w:ascii="Arial" w:hAnsi="Arial" w:cs="Arial"/>
          <w:i/>
        </w:rPr>
        <w:t>expressis verbis</w:t>
      </w:r>
      <w:r w:rsidRPr="00B83170">
        <w:rPr>
          <w:rFonts w:ascii="Arial" w:hAnsi="Arial" w:cs="Arial"/>
        </w:rPr>
        <w:t xml:space="preserve"> e senza margine di scelta per l’Autorità, dalla norma regolatrice della tariffa.</w:t>
      </w:r>
    </w:p>
    <w:p w:rsidR="0069773C" w:rsidRPr="00B83170" w:rsidRDefault="0069773C" w:rsidP="00B83170">
      <w:pPr>
        <w:spacing w:after="0" w:line="260" w:lineRule="exact"/>
        <w:ind w:firstLine="284"/>
        <w:jc w:val="both"/>
        <w:rPr>
          <w:rFonts w:ascii="Arial" w:eastAsia="Times New Roman" w:hAnsi="Arial" w:cs="Arial"/>
          <w:color w:val="000000"/>
          <w:lang w:eastAsia="it-IT"/>
        </w:rPr>
      </w:pPr>
      <w:r w:rsidRPr="00B83170">
        <w:rPr>
          <w:rFonts w:ascii="Arial" w:hAnsi="Arial" w:cs="Arial"/>
        </w:rPr>
        <w:lastRenderedPageBreak/>
        <w:t xml:space="preserve">Nell’accogliere il ricorso con nomina di un commissario </w:t>
      </w:r>
      <w:r w:rsidRPr="00B83170">
        <w:rPr>
          <w:rFonts w:ascii="Arial" w:hAnsi="Arial" w:cs="Arial"/>
          <w:i/>
        </w:rPr>
        <w:t>ad acta</w:t>
      </w:r>
      <w:r w:rsidR="00FF6362" w:rsidRPr="00B83170">
        <w:rPr>
          <w:rFonts w:ascii="Arial" w:hAnsi="Arial" w:cs="Arial"/>
        </w:rPr>
        <w:t xml:space="preserve"> il </w:t>
      </w:r>
      <w:r w:rsidR="00D26FDD">
        <w:rPr>
          <w:rFonts w:ascii="Arial" w:hAnsi="Arial" w:cs="Arial"/>
        </w:rPr>
        <w:t>TAR</w:t>
      </w:r>
      <w:r w:rsidR="00FF6362" w:rsidRPr="00B83170">
        <w:rPr>
          <w:rFonts w:ascii="Arial" w:hAnsi="Arial" w:cs="Arial"/>
        </w:rPr>
        <w:t xml:space="preserve"> ha</w:t>
      </w:r>
      <w:r w:rsidRPr="00B83170">
        <w:rPr>
          <w:rFonts w:ascii="Arial" w:hAnsi="Arial" w:cs="Arial"/>
        </w:rPr>
        <w:t xml:space="preserve"> afferma</w:t>
      </w:r>
      <w:r w:rsidR="00FF6362" w:rsidRPr="00B83170">
        <w:rPr>
          <w:rFonts w:ascii="Arial" w:hAnsi="Arial" w:cs="Arial"/>
        </w:rPr>
        <w:t>to</w:t>
      </w:r>
      <w:r w:rsidRPr="00B83170">
        <w:rPr>
          <w:rFonts w:ascii="Arial" w:hAnsi="Arial" w:cs="Arial"/>
        </w:rPr>
        <w:t xml:space="preserve">  che «</w:t>
      </w:r>
      <w:r w:rsidRPr="00B83170">
        <w:rPr>
          <w:rFonts w:ascii="Arial" w:eastAsia="Times New Roman" w:hAnsi="Arial" w:cs="Arial"/>
          <w:i/>
          <w:color w:val="000000"/>
          <w:lang w:eastAsia="it-IT"/>
        </w:rPr>
        <w:t>nel caso di specie la nomina di un soggetto che si sostituisca all’Autorità non trova ostacolo nella peculiare natura dell’Autorità indipendente, considerato che in relazione alla questione oggetto del presente giudizio la stessa è tenuta ad esercitare poteri tipicamente amministrativi, del tutto simili a quelli di qualunque pubblica amministrazione»</w:t>
      </w:r>
      <w:r w:rsidRPr="00B83170">
        <w:rPr>
          <w:rFonts w:ascii="Arial" w:eastAsia="Times New Roman" w:hAnsi="Arial" w:cs="Arial"/>
          <w:color w:val="000000"/>
          <w:lang w:eastAsia="it-IT"/>
        </w:rPr>
        <w:t>.</w:t>
      </w:r>
    </w:p>
    <w:p w:rsidR="00AA1D19" w:rsidRPr="009463EB" w:rsidRDefault="0069773C" w:rsidP="009463EB">
      <w:pPr>
        <w:spacing w:after="0" w:line="260" w:lineRule="exact"/>
        <w:ind w:firstLine="284"/>
        <w:jc w:val="both"/>
        <w:rPr>
          <w:rFonts w:ascii="Arial" w:eastAsia="Times New Roman" w:hAnsi="Arial" w:cs="Arial"/>
          <w:color w:val="000000"/>
          <w:lang w:eastAsia="it-IT"/>
        </w:rPr>
      </w:pPr>
      <w:r w:rsidRPr="00B83170">
        <w:rPr>
          <w:rFonts w:ascii="Arial" w:eastAsia="Times New Roman" w:hAnsi="Arial" w:cs="Arial"/>
          <w:color w:val="000000"/>
          <w:lang w:eastAsia="it-IT"/>
        </w:rPr>
        <w:t>Il passaggio è sibillino nella misura in cui sancisce una sorta di differenziazione tra attività tipicamente amministrativa (che nella fattispecie è identificata nell’introduzione di un parametro tariffario stabilito in maniera vincolata dal legislatore) e attività regolatoria, adombrand</w:t>
      </w:r>
      <w:r w:rsidR="00FE4093" w:rsidRPr="00B83170">
        <w:rPr>
          <w:rFonts w:ascii="Arial" w:eastAsia="Times New Roman" w:hAnsi="Arial" w:cs="Arial"/>
          <w:color w:val="000000"/>
          <w:lang w:eastAsia="it-IT"/>
        </w:rPr>
        <w:t>o per quest’ultima attività una</w:t>
      </w:r>
      <w:r w:rsidRPr="00B83170">
        <w:rPr>
          <w:rFonts w:ascii="Arial" w:eastAsia="Times New Roman" w:hAnsi="Arial" w:cs="Arial"/>
          <w:color w:val="000000"/>
          <w:lang w:eastAsia="it-IT"/>
        </w:rPr>
        <w:t xml:space="preserve"> qualche limitazione della giurisdizione di merito propria del giudizio di ottemperanza.</w:t>
      </w:r>
    </w:p>
    <w:p w:rsidR="0030660B" w:rsidRPr="004C214D" w:rsidRDefault="004C214D" w:rsidP="004C214D">
      <w:pPr>
        <w:pStyle w:val="Paragrafoelenco"/>
        <w:numPr>
          <w:ilvl w:val="0"/>
          <w:numId w:val="3"/>
        </w:numPr>
        <w:spacing w:before="640" w:after="384" w:line="290" w:lineRule="exact"/>
        <w:ind w:left="-40" w:hanging="357"/>
        <w:jc w:val="both"/>
        <w:rPr>
          <w:rFonts w:ascii="Arial" w:eastAsia="Times New Roman" w:hAnsi="Arial"/>
          <w:b/>
          <w:color w:val="974726"/>
          <w:sz w:val="25"/>
          <w:szCs w:val="20"/>
          <w:lang w:eastAsia="it-IT"/>
        </w:rPr>
      </w:pPr>
      <w:r>
        <w:rPr>
          <w:rFonts w:ascii="Arial" w:eastAsia="Times New Roman" w:hAnsi="Arial"/>
          <w:b/>
          <w:color w:val="974726"/>
          <w:sz w:val="25"/>
          <w:szCs w:val="20"/>
          <w:lang w:eastAsia="it-IT"/>
        </w:rPr>
        <w:t>Conclusioni</w:t>
      </w:r>
    </w:p>
    <w:p w:rsidR="00DF19B7" w:rsidRPr="00B83170" w:rsidRDefault="00655881" w:rsidP="00B83170">
      <w:pPr>
        <w:spacing w:after="0" w:line="260" w:lineRule="exact"/>
        <w:ind w:firstLine="284"/>
        <w:jc w:val="both"/>
        <w:rPr>
          <w:rFonts w:ascii="Arial" w:eastAsia="Times New Roman" w:hAnsi="Arial" w:cs="Arial"/>
          <w:lang w:eastAsia="it-IT"/>
        </w:rPr>
      </w:pPr>
      <w:r w:rsidRPr="00B83170">
        <w:rPr>
          <w:rFonts w:ascii="Arial" w:eastAsia="Times New Roman" w:hAnsi="Arial" w:cs="Arial"/>
          <w:lang w:eastAsia="it-IT"/>
        </w:rPr>
        <w:t xml:space="preserve">Lo scorcio giurisprudenziale </w:t>
      </w:r>
      <w:r w:rsidR="00DF19B7" w:rsidRPr="00B83170">
        <w:rPr>
          <w:rFonts w:ascii="Arial" w:eastAsia="Times New Roman" w:hAnsi="Arial" w:cs="Arial"/>
          <w:lang w:eastAsia="it-IT"/>
        </w:rPr>
        <w:t>che si è proposto</w:t>
      </w:r>
      <w:r w:rsidRPr="00B83170">
        <w:rPr>
          <w:rFonts w:ascii="Arial" w:eastAsia="Times New Roman" w:hAnsi="Arial" w:cs="Arial"/>
          <w:lang w:eastAsia="it-IT"/>
        </w:rPr>
        <w:t xml:space="preserve"> </w:t>
      </w:r>
      <w:r w:rsidR="00DF19B7" w:rsidRPr="00B83170">
        <w:rPr>
          <w:rFonts w:ascii="Arial" w:eastAsia="Times New Roman" w:hAnsi="Arial" w:cs="Arial"/>
          <w:lang w:eastAsia="it-IT"/>
        </w:rPr>
        <w:t xml:space="preserve">mostra come sussistano ancora diverse problematiche irrisolte in ordine al rapporto tra potere regolatorio dell’AEEGSI (ed in generale delle </w:t>
      </w:r>
      <w:r w:rsidR="00DF19B7" w:rsidRPr="00B83170">
        <w:rPr>
          <w:rFonts w:ascii="Arial" w:eastAsia="Times New Roman" w:hAnsi="Arial" w:cs="Arial"/>
          <w:i/>
          <w:lang w:eastAsia="it-IT"/>
        </w:rPr>
        <w:t>Aut</w:t>
      </w:r>
      <w:r w:rsidR="00074CB9" w:rsidRPr="00B83170">
        <w:rPr>
          <w:rFonts w:ascii="Arial" w:eastAsia="Times New Roman" w:hAnsi="Arial" w:cs="Arial"/>
          <w:i/>
          <w:lang w:eastAsia="it-IT"/>
        </w:rPr>
        <w:t>h</w:t>
      </w:r>
      <w:r w:rsidR="00DF19B7" w:rsidRPr="00B83170">
        <w:rPr>
          <w:rFonts w:ascii="Arial" w:eastAsia="Times New Roman" w:hAnsi="Arial" w:cs="Arial"/>
          <w:i/>
          <w:lang w:eastAsia="it-IT"/>
        </w:rPr>
        <w:t>orities</w:t>
      </w:r>
      <w:r w:rsidR="00DF19B7" w:rsidRPr="00B83170">
        <w:rPr>
          <w:rFonts w:ascii="Arial" w:eastAsia="Times New Roman" w:hAnsi="Arial" w:cs="Arial"/>
          <w:lang w:eastAsia="it-IT"/>
        </w:rPr>
        <w:t xml:space="preserve"> la cui missione è regolamentare un mercato) e sindacato giurisdizionale.</w:t>
      </w:r>
    </w:p>
    <w:p w:rsidR="00AC50F3" w:rsidRPr="00B83170" w:rsidRDefault="00AC50F3" w:rsidP="00B83170">
      <w:pPr>
        <w:spacing w:after="0" w:line="260" w:lineRule="exact"/>
        <w:ind w:firstLine="284"/>
        <w:jc w:val="both"/>
        <w:rPr>
          <w:rFonts w:ascii="Arial" w:eastAsia="Times New Roman" w:hAnsi="Arial" w:cs="Arial"/>
          <w:lang w:eastAsia="it-IT"/>
        </w:rPr>
      </w:pPr>
      <w:r w:rsidRPr="00B83170">
        <w:rPr>
          <w:rFonts w:ascii="Arial" w:eastAsia="Times New Roman" w:hAnsi="Arial" w:cs="Arial"/>
          <w:lang w:eastAsia="it-IT"/>
        </w:rPr>
        <w:t>Ciò</w:t>
      </w:r>
      <w:r w:rsidR="00381825" w:rsidRPr="00B83170">
        <w:rPr>
          <w:rFonts w:ascii="Arial" w:eastAsia="Times New Roman" w:hAnsi="Arial" w:cs="Arial"/>
          <w:lang w:eastAsia="it-IT"/>
        </w:rPr>
        <w:t>,</w:t>
      </w:r>
      <w:r w:rsidRPr="00B83170">
        <w:rPr>
          <w:rFonts w:ascii="Arial" w:eastAsia="Times New Roman" w:hAnsi="Arial" w:cs="Arial"/>
          <w:lang w:eastAsia="it-IT"/>
        </w:rPr>
        <w:t xml:space="preserve"> come evidenziato</w:t>
      </w:r>
      <w:r w:rsidR="00381825" w:rsidRPr="00B83170">
        <w:rPr>
          <w:rFonts w:ascii="Arial" w:eastAsia="Times New Roman" w:hAnsi="Arial" w:cs="Arial"/>
          <w:lang w:eastAsia="it-IT"/>
        </w:rPr>
        <w:t>,</w:t>
      </w:r>
      <w:r w:rsidRPr="00B83170">
        <w:rPr>
          <w:rFonts w:ascii="Arial" w:eastAsia="Times New Roman" w:hAnsi="Arial" w:cs="Arial"/>
          <w:lang w:eastAsia="it-IT"/>
        </w:rPr>
        <w:t xml:space="preserve"> pone una certa ambiguità nelle affermazioni di principio del G.A. in ordine alla classificazione dell’attività in questione, ambiguità che si scarica poi sulle decisioni concrete.</w:t>
      </w:r>
    </w:p>
    <w:p w:rsidR="00AC50F3" w:rsidRPr="00B83170" w:rsidRDefault="00AC50F3" w:rsidP="00B83170">
      <w:pPr>
        <w:spacing w:after="0" w:line="260" w:lineRule="exact"/>
        <w:ind w:firstLine="284"/>
        <w:jc w:val="both"/>
        <w:rPr>
          <w:rFonts w:ascii="Arial" w:eastAsia="Times New Roman" w:hAnsi="Arial" w:cs="Arial"/>
          <w:lang w:eastAsia="it-IT"/>
        </w:rPr>
      </w:pPr>
      <w:r w:rsidRPr="00B83170">
        <w:rPr>
          <w:rFonts w:ascii="Arial" w:eastAsia="Times New Roman" w:hAnsi="Arial" w:cs="Arial"/>
          <w:lang w:eastAsia="it-IT"/>
        </w:rPr>
        <w:t xml:space="preserve">Si assiste infatti ad uno spettro di pronunce che in alcuni </w:t>
      </w:r>
      <w:r w:rsidR="00FE4093" w:rsidRPr="00B83170">
        <w:rPr>
          <w:rFonts w:ascii="Arial" w:eastAsia="Times New Roman" w:hAnsi="Arial" w:cs="Arial"/>
          <w:lang w:eastAsia="it-IT"/>
        </w:rPr>
        <w:t>casi contengono</w:t>
      </w:r>
      <w:r w:rsidRPr="00B83170">
        <w:rPr>
          <w:rFonts w:ascii="Arial" w:eastAsia="Times New Roman" w:hAnsi="Arial" w:cs="Arial"/>
          <w:lang w:eastAsia="it-IT"/>
        </w:rPr>
        <w:t xml:space="preserve"> un sindacato sulla </w:t>
      </w:r>
      <w:r w:rsidR="00FE4093" w:rsidRPr="00B83170">
        <w:rPr>
          <w:rFonts w:ascii="Arial" w:eastAsia="Times New Roman" w:hAnsi="Arial" w:cs="Arial"/>
          <w:lang w:eastAsia="it-IT"/>
        </w:rPr>
        <w:t xml:space="preserve">mera </w:t>
      </w:r>
      <w:r w:rsidRPr="00B83170">
        <w:rPr>
          <w:rFonts w:ascii="Arial" w:eastAsia="Times New Roman" w:hAnsi="Arial" w:cs="Arial"/>
          <w:lang w:eastAsia="it-IT"/>
        </w:rPr>
        <w:t>correttezza logica della decisione</w:t>
      </w:r>
      <w:r w:rsidR="0036446B" w:rsidRPr="00B83170">
        <w:rPr>
          <w:rFonts w:ascii="Arial" w:eastAsia="Times New Roman" w:hAnsi="Arial" w:cs="Arial"/>
          <w:lang w:eastAsia="it-IT"/>
        </w:rPr>
        <w:t xml:space="preserve">, in altri </w:t>
      </w:r>
      <w:r w:rsidR="00FE4093" w:rsidRPr="00B83170">
        <w:rPr>
          <w:rFonts w:ascii="Arial" w:eastAsia="Times New Roman" w:hAnsi="Arial" w:cs="Arial"/>
          <w:lang w:eastAsia="it-IT"/>
        </w:rPr>
        <w:t xml:space="preserve">casi </w:t>
      </w:r>
      <w:r w:rsidR="0036446B" w:rsidRPr="00B83170">
        <w:rPr>
          <w:rFonts w:ascii="Arial" w:eastAsia="Times New Roman" w:hAnsi="Arial" w:cs="Arial"/>
          <w:lang w:eastAsia="it-IT"/>
        </w:rPr>
        <w:t>invece valorizzano canoni penetra</w:t>
      </w:r>
      <w:r w:rsidR="00074CB9" w:rsidRPr="00B83170">
        <w:rPr>
          <w:rFonts w:ascii="Arial" w:eastAsia="Times New Roman" w:hAnsi="Arial" w:cs="Arial"/>
          <w:lang w:eastAsia="it-IT"/>
        </w:rPr>
        <w:t>nti e vicini al merito, quali i</w:t>
      </w:r>
      <w:r w:rsidR="0036446B" w:rsidRPr="00B83170">
        <w:rPr>
          <w:rFonts w:ascii="Arial" w:eastAsia="Times New Roman" w:hAnsi="Arial" w:cs="Arial"/>
          <w:lang w:eastAsia="it-IT"/>
        </w:rPr>
        <w:t xml:space="preserve"> principi di non discriminazione e proporzionalità</w:t>
      </w:r>
      <w:r w:rsidR="006E4B30" w:rsidRPr="00B83170">
        <w:rPr>
          <w:rFonts w:ascii="Arial" w:eastAsia="Times New Roman" w:hAnsi="Arial" w:cs="Arial"/>
          <w:lang w:eastAsia="it-IT"/>
        </w:rPr>
        <w:t>.</w:t>
      </w:r>
      <w:r w:rsidR="001A338C" w:rsidRPr="00B83170">
        <w:rPr>
          <w:rFonts w:ascii="Arial" w:eastAsia="Times New Roman" w:hAnsi="Arial" w:cs="Arial"/>
          <w:lang w:eastAsia="it-IT"/>
        </w:rPr>
        <w:t xml:space="preserve"> </w:t>
      </w:r>
    </w:p>
    <w:p w:rsidR="00AC50F3" w:rsidRPr="00B83170" w:rsidRDefault="0036446B" w:rsidP="00B83170">
      <w:pPr>
        <w:spacing w:after="0" w:line="260" w:lineRule="exact"/>
        <w:ind w:firstLine="284"/>
        <w:jc w:val="both"/>
        <w:rPr>
          <w:rFonts w:ascii="Arial" w:eastAsia="Times New Roman" w:hAnsi="Arial" w:cs="Arial"/>
          <w:lang w:eastAsia="it-IT"/>
        </w:rPr>
      </w:pPr>
      <w:r w:rsidRPr="00B83170">
        <w:rPr>
          <w:rFonts w:ascii="Arial" w:eastAsia="Times New Roman" w:hAnsi="Arial" w:cs="Arial"/>
          <w:lang w:eastAsia="it-IT"/>
        </w:rPr>
        <w:t xml:space="preserve">La tensione tra la volontà di non invadere il terreno dell’Autorità e la necessità di </w:t>
      </w:r>
      <w:r w:rsidR="00FE4093" w:rsidRPr="00B83170">
        <w:rPr>
          <w:rFonts w:ascii="Arial" w:eastAsia="Times New Roman" w:hAnsi="Arial" w:cs="Arial"/>
          <w:lang w:eastAsia="it-IT"/>
        </w:rPr>
        <w:t>verificare</w:t>
      </w:r>
      <w:r w:rsidR="005100B4" w:rsidRPr="00B83170">
        <w:rPr>
          <w:rFonts w:ascii="Arial" w:eastAsia="Times New Roman" w:hAnsi="Arial" w:cs="Arial"/>
          <w:lang w:eastAsia="it-IT"/>
        </w:rPr>
        <w:t xml:space="preserve"> la legalità del suo agire</w:t>
      </w:r>
      <w:r w:rsidRPr="00B83170">
        <w:rPr>
          <w:rFonts w:ascii="Arial" w:eastAsia="Times New Roman" w:hAnsi="Arial" w:cs="Arial"/>
          <w:lang w:eastAsia="it-IT"/>
        </w:rPr>
        <w:t xml:space="preserve"> si </w:t>
      </w:r>
      <w:r w:rsidR="005838CE" w:rsidRPr="00B83170">
        <w:rPr>
          <w:rFonts w:ascii="Arial" w:eastAsia="Times New Roman" w:hAnsi="Arial" w:cs="Arial"/>
          <w:lang w:eastAsia="it-IT"/>
        </w:rPr>
        <w:t>riscontra</w:t>
      </w:r>
      <w:r w:rsidRPr="00B83170">
        <w:rPr>
          <w:rFonts w:ascii="Arial" w:eastAsia="Times New Roman" w:hAnsi="Arial" w:cs="Arial"/>
          <w:lang w:eastAsia="it-IT"/>
        </w:rPr>
        <w:t xml:space="preserve"> in tutta la sua evidenza in merito</w:t>
      </w:r>
      <w:r w:rsidR="006E4B30" w:rsidRPr="00B83170">
        <w:rPr>
          <w:rFonts w:ascii="Arial" w:eastAsia="Times New Roman" w:hAnsi="Arial" w:cs="Arial"/>
          <w:lang w:eastAsia="it-IT"/>
        </w:rPr>
        <w:t xml:space="preserve"> al tema dell’esecuzione del giudicato,</w:t>
      </w:r>
      <w:r w:rsidRPr="00B83170">
        <w:rPr>
          <w:rFonts w:ascii="Arial" w:eastAsia="Times New Roman" w:hAnsi="Arial" w:cs="Arial"/>
          <w:lang w:eastAsia="it-IT"/>
        </w:rPr>
        <w:t xml:space="preserve"> dove ad affermazioni vaghe sul peso conformativo dei criteri dettati si somma un certo imbarazzo (nel caso specifico evitato</w:t>
      </w:r>
      <w:r w:rsidRPr="00B83170">
        <w:rPr>
          <w:rStyle w:val="Rimandonotaapidipagina"/>
          <w:rFonts w:ascii="Arial" w:eastAsia="Times New Roman" w:hAnsi="Arial" w:cs="Arial"/>
          <w:lang w:eastAsia="it-IT"/>
        </w:rPr>
        <w:footnoteReference w:id="43"/>
      </w:r>
      <w:r w:rsidRPr="00B83170">
        <w:rPr>
          <w:rFonts w:ascii="Arial" w:eastAsia="Times New Roman" w:hAnsi="Arial" w:cs="Arial"/>
          <w:lang w:eastAsia="it-IT"/>
        </w:rPr>
        <w:t xml:space="preserve">) </w:t>
      </w:r>
      <w:r w:rsidR="006E4B30" w:rsidRPr="00B83170">
        <w:rPr>
          <w:rFonts w:ascii="Arial" w:eastAsia="Times New Roman" w:hAnsi="Arial" w:cs="Arial"/>
          <w:lang w:eastAsia="it-IT"/>
        </w:rPr>
        <w:t>sull’esercizio di poteri sostitutivi del G.A.</w:t>
      </w:r>
    </w:p>
    <w:p w:rsidR="00F060E0" w:rsidRPr="00B83170" w:rsidRDefault="006E4B30" w:rsidP="00B83170">
      <w:pPr>
        <w:spacing w:after="0" w:line="260" w:lineRule="exact"/>
        <w:ind w:firstLine="284"/>
        <w:jc w:val="both"/>
        <w:rPr>
          <w:rFonts w:ascii="Arial" w:hAnsi="Arial" w:cs="Arial"/>
        </w:rPr>
      </w:pPr>
      <w:r w:rsidRPr="00B83170">
        <w:rPr>
          <w:rFonts w:ascii="Arial" w:hAnsi="Arial" w:cs="Arial"/>
        </w:rPr>
        <w:t xml:space="preserve">Si coglie tuttavia lo sforzo del </w:t>
      </w:r>
      <w:r w:rsidR="00FE4093" w:rsidRPr="00B83170">
        <w:rPr>
          <w:rFonts w:ascii="Arial" w:hAnsi="Arial" w:cs="Arial"/>
        </w:rPr>
        <w:t>giudice,</w:t>
      </w:r>
      <w:r w:rsidRPr="00B83170">
        <w:rPr>
          <w:rFonts w:ascii="Arial" w:hAnsi="Arial" w:cs="Arial"/>
        </w:rPr>
        <w:t xml:space="preserve"> </w:t>
      </w:r>
      <w:r w:rsidR="00C25BB2" w:rsidRPr="00B83170">
        <w:rPr>
          <w:rFonts w:ascii="Arial" w:hAnsi="Arial" w:cs="Arial"/>
        </w:rPr>
        <w:t>nelle sentenze che si sono esaminate</w:t>
      </w:r>
      <w:r w:rsidR="00EB3E53" w:rsidRPr="00B83170">
        <w:rPr>
          <w:rFonts w:ascii="Arial" w:hAnsi="Arial" w:cs="Arial"/>
        </w:rPr>
        <w:t>,</w:t>
      </w:r>
      <w:r w:rsidR="00C25BB2" w:rsidRPr="00B83170">
        <w:rPr>
          <w:rFonts w:ascii="Arial" w:hAnsi="Arial" w:cs="Arial"/>
        </w:rPr>
        <w:t xml:space="preserve"> </w:t>
      </w:r>
      <w:r w:rsidRPr="00B83170">
        <w:rPr>
          <w:rFonts w:ascii="Arial" w:hAnsi="Arial" w:cs="Arial"/>
        </w:rPr>
        <w:t xml:space="preserve">di effettuare un sindacato </w:t>
      </w:r>
      <w:r w:rsidR="00C25BB2" w:rsidRPr="00B83170">
        <w:rPr>
          <w:rFonts w:ascii="Arial" w:hAnsi="Arial" w:cs="Arial"/>
        </w:rPr>
        <w:t>attraverso alcune selezionate figure sintomatiche</w:t>
      </w:r>
      <w:r w:rsidR="00BB4AF9" w:rsidRPr="00B83170">
        <w:rPr>
          <w:rFonts w:ascii="Arial" w:hAnsi="Arial" w:cs="Arial"/>
        </w:rPr>
        <w:t>, in qualche modo congegnali al contesto di riferimento</w:t>
      </w:r>
      <w:r w:rsidR="00F060E0" w:rsidRPr="00B83170">
        <w:rPr>
          <w:rFonts w:ascii="Arial" w:hAnsi="Arial" w:cs="Arial"/>
        </w:rPr>
        <w:t xml:space="preserve"> (ovvero il mercato), secondo una </w:t>
      </w:r>
      <w:r w:rsidR="00EB3E53" w:rsidRPr="00B83170">
        <w:rPr>
          <w:rFonts w:ascii="Arial" w:hAnsi="Arial" w:cs="Arial"/>
        </w:rPr>
        <w:t>concezione già evidenziata in</w:t>
      </w:r>
      <w:r w:rsidR="00F060E0" w:rsidRPr="00B83170">
        <w:rPr>
          <w:rFonts w:ascii="Arial" w:hAnsi="Arial" w:cs="Arial"/>
        </w:rPr>
        <w:t xml:space="preserve"> dottrina</w:t>
      </w:r>
      <w:r w:rsidR="00F060E0" w:rsidRPr="00B83170">
        <w:rPr>
          <w:rStyle w:val="Rimandonotaapidipagina"/>
          <w:rFonts w:ascii="Arial" w:hAnsi="Arial" w:cs="Arial"/>
        </w:rPr>
        <w:footnoteReference w:id="44"/>
      </w:r>
      <w:r w:rsidR="00F060E0" w:rsidRPr="00B83170">
        <w:rPr>
          <w:rFonts w:ascii="Arial" w:hAnsi="Arial" w:cs="Arial"/>
        </w:rPr>
        <w:t>.</w:t>
      </w:r>
    </w:p>
    <w:p w:rsidR="00481414" w:rsidRPr="00B83170" w:rsidRDefault="00BB4AF9" w:rsidP="00B83170">
      <w:pPr>
        <w:spacing w:after="0" w:line="260" w:lineRule="exact"/>
        <w:ind w:firstLine="284"/>
        <w:jc w:val="both"/>
        <w:rPr>
          <w:rFonts w:ascii="Arial" w:hAnsi="Arial" w:cs="Arial"/>
        </w:rPr>
      </w:pPr>
      <w:r w:rsidRPr="00B83170">
        <w:rPr>
          <w:rFonts w:ascii="Arial" w:hAnsi="Arial" w:cs="Arial"/>
        </w:rPr>
        <w:t xml:space="preserve">Sotto altro punto di vista, </w:t>
      </w:r>
      <w:r w:rsidR="00EB3E53" w:rsidRPr="00B83170">
        <w:rPr>
          <w:rFonts w:ascii="Arial" w:hAnsi="Arial" w:cs="Arial"/>
        </w:rPr>
        <w:t>il G.A.</w:t>
      </w:r>
      <w:r w:rsidRPr="00B83170">
        <w:rPr>
          <w:rFonts w:ascii="Arial" w:hAnsi="Arial" w:cs="Arial"/>
        </w:rPr>
        <w:t xml:space="preserve"> </w:t>
      </w:r>
      <w:r w:rsidR="006E4B30" w:rsidRPr="00B83170">
        <w:rPr>
          <w:rFonts w:ascii="Arial" w:hAnsi="Arial" w:cs="Arial"/>
        </w:rPr>
        <w:t xml:space="preserve">in alcune pronunce </w:t>
      </w:r>
      <w:r w:rsidRPr="00B83170">
        <w:rPr>
          <w:rFonts w:ascii="Arial" w:hAnsi="Arial" w:cs="Arial"/>
        </w:rPr>
        <w:t xml:space="preserve">mostra </w:t>
      </w:r>
      <w:r w:rsidR="006E4B30" w:rsidRPr="00B83170">
        <w:rPr>
          <w:rFonts w:ascii="Arial" w:hAnsi="Arial" w:cs="Arial"/>
        </w:rPr>
        <w:t xml:space="preserve">effettivamente un’attenzione particolare </w:t>
      </w:r>
      <w:r w:rsidR="001E6C60" w:rsidRPr="00B83170">
        <w:rPr>
          <w:rFonts w:ascii="Arial" w:hAnsi="Arial" w:cs="Arial"/>
        </w:rPr>
        <w:t>al rispetto del principio del contradditorio nella formulazione della disciplina regolatoria</w:t>
      </w:r>
      <w:r w:rsidR="006E4B30" w:rsidRPr="00B83170">
        <w:rPr>
          <w:rFonts w:ascii="Arial" w:hAnsi="Arial" w:cs="Arial"/>
        </w:rPr>
        <w:t xml:space="preserve">, nella consapevolezza che la regola corretta </w:t>
      </w:r>
      <w:r w:rsidR="006E4B30" w:rsidRPr="00B83170">
        <w:rPr>
          <w:rFonts w:ascii="Arial" w:hAnsi="Arial" w:cs="Arial"/>
        </w:rPr>
        <w:lastRenderedPageBreak/>
        <w:t>è innanzitutto quella costruita insieme agli operatori di settore</w:t>
      </w:r>
      <w:r w:rsidR="005838CE" w:rsidRPr="00B83170">
        <w:rPr>
          <w:rFonts w:ascii="Arial" w:hAnsi="Arial" w:cs="Arial"/>
        </w:rPr>
        <w:t>, depositari delle necessari</w:t>
      </w:r>
      <w:r w:rsidR="00A62DB0" w:rsidRPr="00B83170">
        <w:rPr>
          <w:rFonts w:ascii="Arial" w:hAnsi="Arial" w:cs="Arial"/>
        </w:rPr>
        <w:t>e informazion</w:t>
      </w:r>
      <w:r w:rsidR="0086453C" w:rsidRPr="00B83170">
        <w:rPr>
          <w:rFonts w:ascii="Arial" w:hAnsi="Arial" w:cs="Arial"/>
        </w:rPr>
        <w:t>i sul funzionamento del mercato</w:t>
      </w:r>
      <w:r w:rsidR="00FD1ABC" w:rsidRPr="00B83170">
        <w:rPr>
          <w:rFonts w:ascii="Arial" w:hAnsi="Arial" w:cs="Arial"/>
        </w:rPr>
        <w:t>; d</w:t>
      </w:r>
      <w:r w:rsidR="00FD7E61" w:rsidRPr="00B83170">
        <w:rPr>
          <w:rFonts w:ascii="Arial" w:hAnsi="Arial" w:cs="Arial"/>
        </w:rPr>
        <w:t>unque l</w:t>
      </w:r>
      <w:r w:rsidR="009F6962" w:rsidRPr="00B83170">
        <w:rPr>
          <w:rFonts w:ascii="Arial" w:hAnsi="Arial" w:cs="Arial"/>
        </w:rPr>
        <w:t xml:space="preserve">a possibilità di esprimere un giudizio sulla ragionevolezza della soluzione adottata passa </w:t>
      </w:r>
      <w:r w:rsidR="009F6962" w:rsidRPr="00B83170">
        <w:rPr>
          <w:rFonts w:ascii="Arial" w:hAnsi="Arial" w:cs="Arial"/>
          <w:i/>
        </w:rPr>
        <w:t>in primis</w:t>
      </w:r>
      <w:r w:rsidR="009F6962" w:rsidRPr="00B83170">
        <w:rPr>
          <w:rFonts w:ascii="Arial" w:hAnsi="Arial" w:cs="Arial"/>
        </w:rPr>
        <w:t xml:space="preserve"> </w:t>
      </w:r>
      <w:r w:rsidR="00381825" w:rsidRPr="00B83170">
        <w:rPr>
          <w:rFonts w:ascii="Arial" w:hAnsi="Arial" w:cs="Arial"/>
        </w:rPr>
        <w:t>attraverso</w:t>
      </w:r>
      <w:r w:rsidR="005100B4" w:rsidRPr="00B83170">
        <w:rPr>
          <w:rFonts w:ascii="Arial" w:hAnsi="Arial" w:cs="Arial"/>
        </w:rPr>
        <w:t xml:space="preserve"> il</w:t>
      </w:r>
      <w:r w:rsidR="00381825" w:rsidRPr="00B83170">
        <w:rPr>
          <w:rFonts w:ascii="Arial" w:hAnsi="Arial" w:cs="Arial"/>
        </w:rPr>
        <w:t xml:space="preserve"> </w:t>
      </w:r>
      <w:r w:rsidR="00AA3D3D" w:rsidRPr="00B83170">
        <w:rPr>
          <w:rFonts w:ascii="Arial" w:hAnsi="Arial" w:cs="Arial"/>
        </w:rPr>
        <w:t>rigoroso</w:t>
      </w:r>
      <w:r w:rsidR="00FD7E61" w:rsidRPr="00B83170">
        <w:rPr>
          <w:rFonts w:ascii="Arial" w:hAnsi="Arial" w:cs="Arial"/>
        </w:rPr>
        <w:t xml:space="preserve"> </w:t>
      </w:r>
      <w:r w:rsidR="003029BC" w:rsidRPr="00B83170">
        <w:rPr>
          <w:rFonts w:ascii="Arial" w:hAnsi="Arial" w:cs="Arial"/>
        </w:rPr>
        <w:t>rispetto del confronto procedimentale.</w:t>
      </w:r>
    </w:p>
    <w:p w:rsidR="003F3201" w:rsidRPr="00B83170" w:rsidRDefault="00A62DB0" w:rsidP="00B83170">
      <w:pPr>
        <w:spacing w:after="0" w:line="260" w:lineRule="exact"/>
        <w:ind w:firstLine="284"/>
        <w:jc w:val="both"/>
        <w:rPr>
          <w:rFonts w:ascii="Arial" w:hAnsi="Arial" w:cs="Arial"/>
        </w:rPr>
      </w:pPr>
      <w:r w:rsidRPr="00B83170">
        <w:rPr>
          <w:rFonts w:ascii="Arial" w:hAnsi="Arial" w:cs="Arial"/>
        </w:rPr>
        <w:t xml:space="preserve">Quest’ultimo aspetto, unitamente all’evidenziato </w:t>
      </w:r>
      <w:r w:rsidR="006E4B30" w:rsidRPr="00B83170">
        <w:rPr>
          <w:rFonts w:ascii="Arial" w:hAnsi="Arial" w:cs="Arial"/>
        </w:rPr>
        <w:t xml:space="preserve">tentativo </w:t>
      </w:r>
      <w:r w:rsidRPr="00B83170">
        <w:rPr>
          <w:rFonts w:ascii="Arial" w:hAnsi="Arial" w:cs="Arial"/>
        </w:rPr>
        <w:t xml:space="preserve">del G.A. </w:t>
      </w:r>
      <w:r w:rsidR="00FD7E61" w:rsidRPr="00B83170">
        <w:rPr>
          <w:rFonts w:ascii="Arial" w:hAnsi="Arial" w:cs="Arial"/>
        </w:rPr>
        <w:t>in</w:t>
      </w:r>
      <w:r w:rsidRPr="00B83170">
        <w:rPr>
          <w:rFonts w:ascii="Arial" w:hAnsi="Arial" w:cs="Arial"/>
        </w:rPr>
        <w:t xml:space="preserve"> alcune decisioni </w:t>
      </w:r>
      <w:r w:rsidR="006E4B30" w:rsidRPr="00B83170">
        <w:rPr>
          <w:rFonts w:ascii="Arial" w:hAnsi="Arial" w:cs="Arial"/>
        </w:rPr>
        <w:t>di esemplificare la soluzione corretta dal punto di vista della ragionevolezza</w:t>
      </w:r>
      <w:r w:rsidRPr="00B83170">
        <w:rPr>
          <w:rFonts w:ascii="Arial" w:hAnsi="Arial" w:cs="Arial"/>
        </w:rPr>
        <w:t xml:space="preserve"> tecnica, manifestano il fenomeno proprio della regolazione del mercato </w:t>
      </w:r>
      <w:r w:rsidR="001F529D" w:rsidRPr="00B83170">
        <w:rPr>
          <w:rFonts w:ascii="Arial" w:hAnsi="Arial" w:cs="Arial"/>
        </w:rPr>
        <w:t>«</w:t>
      </w:r>
      <w:r w:rsidR="001E6C60" w:rsidRPr="00B83170">
        <w:rPr>
          <w:rFonts w:ascii="Arial" w:hAnsi="Arial" w:cs="Arial"/>
          <w:i/>
        </w:rPr>
        <w:t>come disciplina non solo in divenire, ma addirittura da costruire, che segue una strada lunga e complessa e che procede per via di assestamenti successivi</w:t>
      </w:r>
      <w:r w:rsidR="001F529D" w:rsidRPr="00B83170">
        <w:rPr>
          <w:rFonts w:ascii="Arial" w:hAnsi="Arial" w:cs="Arial"/>
        </w:rPr>
        <w:t>»</w:t>
      </w:r>
      <w:r w:rsidR="001E6C60" w:rsidRPr="00B83170">
        <w:rPr>
          <w:rStyle w:val="Rimandonotaapidipagina"/>
          <w:rFonts w:ascii="Arial" w:hAnsi="Arial" w:cs="Arial"/>
        </w:rPr>
        <w:footnoteReference w:id="45"/>
      </w:r>
      <w:r w:rsidR="001F529D" w:rsidRPr="00B83170">
        <w:rPr>
          <w:rFonts w:ascii="Arial" w:hAnsi="Arial" w:cs="Arial"/>
        </w:rPr>
        <w:t>.</w:t>
      </w:r>
    </w:p>
    <w:p w:rsidR="007206FB" w:rsidRPr="00B83170" w:rsidRDefault="00A62DB0" w:rsidP="00B83170">
      <w:pPr>
        <w:spacing w:after="0" w:line="260" w:lineRule="exact"/>
        <w:ind w:firstLine="284"/>
        <w:jc w:val="both"/>
        <w:rPr>
          <w:rFonts w:ascii="Arial" w:hAnsi="Arial" w:cs="Arial"/>
        </w:rPr>
      </w:pPr>
      <w:r w:rsidRPr="00B83170">
        <w:rPr>
          <w:rFonts w:ascii="Arial" w:hAnsi="Arial" w:cs="Arial"/>
        </w:rPr>
        <w:t>Il problema che pare ancora aperto è quello di definire chiaramente il ruolo del giudice in tale processo di costruzione.</w:t>
      </w:r>
    </w:p>
    <w:p w:rsidR="00437B6F" w:rsidRPr="00B83170" w:rsidRDefault="00437B6F" w:rsidP="00B83170">
      <w:pPr>
        <w:spacing w:after="0" w:line="260" w:lineRule="exact"/>
        <w:jc w:val="both"/>
        <w:rPr>
          <w:rFonts w:ascii="Arial" w:hAnsi="Arial" w:cs="Arial"/>
        </w:rPr>
      </w:pPr>
    </w:p>
    <w:p w:rsidR="00BB4AF9" w:rsidRPr="00B83170" w:rsidRDefault="00BB4AF9" w:rsidP="00BB4AF9">
      <w:pPr>
        <w:spacing w:after="0" w:line="520" w:lineRule="atLeast"/>
        <w:jc w:val="both"/>
        <w:rPr>
          <w:rFonts w:ascii="Arial" w:hAnsi="Arial" w:cs="Arial"/>
        </w:rPr>
      </w:pPr>
    </w:p>
    <w:p w:rsidR="00BB4AF9" w:rsidRPr="00B83170" w:rsidRDefault="00BB4AF9" w:rsidP="00BB4AF9">
      <w:pPr>
        <w:spacing w:after="0" w:line="520" w:lineRule="atLeast"/>
        <w:jc w:val="both"/>
        <w:rPr>
          <w:rFonts w:ascii="Arial" w:hAnsi="Arial" w:cs="Arial"/>
        </w:rPr>
      </w:pPr>
    </w:p>
    <w:p w:rsidR="006718AF" w:rsidRPr="00B83170" w:rsidRDefault="006718AF" w:rsidP="00BB4AF9">
      <w:pPr>
        <w:spacing w:after="0" w:line="520" w:lineRule="atLeast"/>
        <w:jc w:val="both"/>
        <w:rPr>
          <w:rFonts w:ascii="Arial" w:eastAsia="Times New Roman" w:hAnsi="Arial" w:cs="Arial"/>
          <w:color w:val="000000"/>
          <w:lang w:eastAsia="it-IT"/>
        </w:rPr>
      </w:pPr>
    </w:p>
    <w:p w:rsidR="00E36976" w:rsidRPr="00B83170" w:rsidRDefault="00E36976" w:rsidP="00BB4AF9">
      <w:pPr>
        <w:spacing w:after="0" w:line="520" w:lineRule="atLeast"/>
        <w:jc w:val="both"/>
        <w:rPr>
          <w:rFonts w:ascii="Arial" w:eastAsia="Times New Roman" w:hAnsi="Arial" w:cs="Arial"/>
          <w:color w:val="000000"/>
          <w:lang w:eastAsia="it-IT"/>
        </w:rPr>
      </w:pPr>
    </w:p>
    <w:p w:rsidR="003C1B97" w:rsidRPr="00B83170" w:rsidRDefault="003C1B97" w:rsidP="00BB4AF9">
      <w:pPr>
        <w:spacing w:after="0" w:line="520" w:lineRule="atLeast"/>
        <w:jc w:val="both"/>
        <w:rPr>
          <w:rFonts w:ascii="Arial" w:eastAsia="Times New Roman" w:hAnsi="Arial" w:cs="Arial"/>
          <w:color w:val="000000"/>
          <w:lang w:eastAsia="it-IT"/>
        </w:rPr>
      </w:pPr>
    </w:p>
    <w:p w:rsidR="003C1B97" w:rsidRPr="00B83170" w:rsidRDefault="003C1B97" w:rsidP="00BB4AF9">
      <w:pPr>
        <w:spacing w:after="0" w:line="520" w:lineRule="atLeast"/>
        <w:jc w:val="both"/>
        <w:rPr>
          <w:rFonts w:ascii="Arial" w:eastAsia="Times New Roman" w:hAnsi="Arial" w:cs="Arial"/>
          <w:color w:val="000000"/>
          <w:lang w:eastAsia="it-IT"/>
        </w:rPr>
      </w:pPr>
    </w:p>
    <w:p w:rsidR="00A60F63" w:rsidRPr="00B83170" w:rsidRDefault="00A60F63" w:rsidP="00BB4AF9">
      <w:pPr>
        <w:spacing w:after="0" w:line="520" w:lineRule="atLeast"/>
        <w:jc w:val="both"/>
        <w:rPr>
          <w:rFonts w:ascii="Arial" w:hAnsi="Arial" w:cs="Arial"/>
        </w:rPr>
      </w:pPr>
    </w:p>
    <w:p w:rsidR="001B6F6C" w:rsidRPr="00B83170" w:rsidRDefault="001B6F6C" w:rsidP="00BB4AF9">
      <w:pPr>
        <w:spacing w:after="0" w:line="520" w:lineRule="atLeast"/>
        <w:jc w:val="both"/>
        <w:rPr>
          <w:rFonts w:ascii="Arial" w:hAnsi="Arial" w:cs="Arial"/>
        </w:rPr>
      </w:pPr>
    </w:p>
    <w:p w:rsidR="000766D5" w:rsidRPr="00B83170" w:rsidRDefault="000766D5" w:rsidP="00BB4AF9">
      <w:pPr>
        <w:spacing w:after="0" w:line="520" w:lineRule="atLeast"/>
        <w:jc w:val="both"/>
        <w:rPr>
          <w:rFonts w:ascii="Arial" w:hAnsi="Arial" w:cs="Arial"/>
        </w:rPr>
      </w:pPr>
    </w:p>
    <w:p w:rsidR="000766D5" w:rsidRPr="00B83170" w:rsidRDefault="000766D5" w:rsidP="00BB4AF9">
      <w:pPr>
        <w:spacing w:after="0" w:line="520" w:lineRule="atLeast"/>
        <w:jc w:val="both"/>
        <w:rPr>
          <w:rFonts w:ascii="Arial" w:hAnsi="Arial" w:cs="Arial"/>
        </w:rPr>
      </w:pPr>
    </w:p>
    <w:p w:rsidR="009429B7" w:rsidRPr="00B83170" w:rsidRDefault="009429B7" w:rsidP="00BB4AF9">
      <w:pPr>
        <w:spacing w:after="0" w:line="520" w:lineRule="atLeast"/>
        <w:jc w:val="both"/>
        <w:rPr>
          <w:rFonts w:ascii="Arial" w:eastAsia="Times New Roman" w:hAnsi="Arial" w:cs="Arial"/>
          <w:color w:val="000000"/>
          <w:lang w:eastAsia="it-IT"/>
        </w:rPr>
      </w:pPr>
    </w:p>
    <w:p w:rsidR="00941AFB" w:rsidRPr="00B83170" w:rsidRDefault="00941AFB" w:rsidP="00BB4AF9">
      <w:pPr>
        <w:spacing w:after="0" w:line="520" w:lineRule="atLeast"/>
        <w:jc w:val="both"/>
        <w:rPr>
          <w:rFonts w:ascii="Arial" w:hAnsi="Arial" w:cs="Arial"/>
        </w:rPr>
      </w:pPr>
    </w:p>
    <w:p w:rsidR="009429B7" w:rsidRPr="00B83170" w:rsidRDefault="009429B7" w:rsidP="00BB4AF9">
      <w:pPr>
        <w:spacing w:after="0" w:line="520" w:lineRule="atLeast"/>
        <w:jc w:val="both"/>
        <w:rPr>
          <w:rFonts w:ascii="Arial" w:hAnsi="Arial" w:cs="Arial"/>
        </w:rPr>
      </w:pPr>
    </w:p>
    <w:p w:rsidR="005C3D06" w:rsidRPr="00B83170" w:rsidRDefault="005C3D06" w:rsidP="00BB4AF9">
      <w:pPr>
        <w:spacing w:after="0" w:line="520" w:lineRule="atLeast"/>
        <w:jc w:val="both"/>
        <w:rPr>
          <w:rFonts w:ascii="Arial" w:hAnsi="Arial" w:cs="Arial"/>
        </w:rPr>
      </w:pPr>
    </w:p>
    <w:p w:rsidR="0056787A" w:rsidRPr="00B83170" w:rsidRDefault="0056787A" w:rsidP="00BB4AF9">
      <w:pPr>
        <w:spacing w:after="0" w:line="520" w:lineRule="atLeast"/>
        <w:jc w:val="both"/>
        <w:rPr>
          <w:rFonts w:ascii="Arial" w:hAnsi="Arial" w:cs="Arial"/>
        </w:rPr>
      </w:pPr>
    </w:p>
    <w:p w:rsidR="0056787A" w:rsidRPr="00B83170" w:rsidRDefault="0056787A" w:rsidP="00BB4AF9">
      <w:pPr>
        <w:spacing w:after="0" w:line="520" w:lineRule="atLeast"/>
        <w:jc w:val="both"/>
        <w:rPr>
          <w:rFonts w:ascii="Arial" w:hAnsi="Arial" w:cs="Arial"/>
        </w:rPr>
      </w:pPr>
    </w:p>
    <w:p w:rsidR="009770B6" w:rsidRPr="00B83170" w:rsidRDefault="009770B6" w:rsidP="00BB4AF9">
      <w:pPr>
        <w:spacing w:after="0" w:line="520" w:lineRule="atLeast"/>
        <w:jc w:val="both"/>
        <w:rPr>
          <w:rFonts w:ascii="Arial" w:hAnsi="Arial" w:cs="Arial"/>
          <w:highlight w:val="red"/>
        </w:rPr>
      </w:pPr>
    </w:p>
    <w:p w:rsidR="009770B6" w:rsidRPr="00B83170" w:rsidRDefault="009770B6" w:rsidP="00BB4AF9">
      <w:pPr>
        <w:spacing w:after="0" w:line="520" w:lineRule="atLeast"/>
        <w:jc w:val="both"/>
        <w:rPr>
          <w:rFonts w:ascii="Arial" w:hAnsi="Arial" w:cs="Arial"/>
          <w:highlight w:val="red"/>
        </w:rPr>
      </w:pPr>
    </w:p>
    <w:p w:rsidR="001C3A6E" w:rsidRPr="00B83170" w:rsidRDefault="001C3A6E" w:rsidP="00BB4AF9">
      <w:pPr>
        <w:spacing w:after="0" w:line="520" w:lineRule="atLeast"/>
        <w:jc w:val="both"/>
        <w:rPr>
          <w:rFonts w:ascii="Arial" w:hAnsi="Arial" w:cs="Arial"/>
        </w:rPr>
      </w:pPr>
    </w:p>
    <w:p w:rsidR="0009208D" w:rsidRPr="00B83170" w:rsidRDefault="0009208D" w:rsidP="00BB4AF9">
      <w:pPr>
        <w:spacing w:after="0" w:line="520" w:lineRule="atLeast"/>
        <w:jc w:val="both"/>
        <w:rPr>
          <w:rFonts w:ascii="Arial" w:hAnsi="Arial" w:cs="Arial"/>
        </w:rPr>
      </w:pPr>
    </w:p>
    <w:p w:rsidR="00234796" w:rsidRPr="00B83170" w:rsidRDefault="00234796" w:rsidP="00BB4AF9">
      <w:pPr>
        <w:spacing w:after="0" w:line="520" w:lineRule="atLeast"/>
        <w:jc w:val="both"/>
        <w:rPr>
          <w:rFonts w:ascii="Arial" w:hAnsi="Arial" w:cs="Arial"/>
        </w:rPr>
      </w:pPr>
    </w:p>
    <w:p w:rsidR="005E69C0" w:rsidRPr="00B83170" w:rsidRDefault="005E69C0" w:rsidP="00BB4AF9">
      <w:pPr>
        <w:spacing w:after="0" w:line="520" w:lineRule="atLeast"/>
        <w:jc w:val="both"/>
        <w:rPr>
          <w:rFonts w:ascii="Arial" w:hAnsi="Arial" w:cs="Arial"/>
          <w:b/>
        </w:rPr>
      </w:pPr>
    </w:p>
    <w:p w:rsidR="0020464A" w:rsidRPr="00B83170" w:rsidRDefault="0020464A" w:rsidP="00BB4AF9">
      <w:pPr>
        <w:spacing w:after="0" w:line="520" w:lineRule="atLeast"/>
        <w:jc w:val="both"/>
        <w:rPr>
          <w:rFonts w:ascii="Arial" w:hAnsi="Arial" w:cs="Arial"/>
          <w:b/>
        </w:rPr>
      </w:pPr>
    </w:p>
    <w:p w:rsidR="00D2113B" w:rsidRPr="00B83170" w:rsidRDefault="00D2113B" w:rsidP="00BB4AF9">
      <w:pPr>
        <w:spacing w:after="0" w:line="520" w:lineRule="atLeast"/>
        <w:jc w:val="both"/>
        <w:rPr>
          <w:rFonts w:ascii="Arial" w:hAnsi="Arial" w:cs="Arial"/>
          <w:b/>
        </w:rPr>
      </w:pPr>
    </w:p>
    <w:p w:rsidR="00234796" w:rsidRPr="00B83170" w:rsidRDefault="00234796" w:rsidP="00BB4AF9">
      <w:pPr>
        <w:spacing w:after="0" w:line="520" w:lineRule="atLeast"/>
        <w:jc w:val="both"/>
        <w:rPr>
          <w:rFonts w:ascii="Arial" w:hAnsi="Arial" w:cs="Arial"/>
          <w:b/>
        </w:rPr>
      </w:pPr>
    </w:p>
    <w:p w:rsidR="000766D5" w:rsidRPr="00B83170" w:rsidRDefault="000766D5" w:rsidP="00BB4AF9">
      <w:pPr>
        <w:spacing w:after="0" w:line="520" w:lineRule="atLeast"/>
        <w:jc w:val="both"/>
        <w:rPr>
          <w:rFonts w:ascii="Arial" w:hAnsi="Arial" w:cs="Arial"/>
        </w:rPr>
      </w:pPr>
    </w:p>
    <w:p w:rsidR="000F6E92" w:rsidRPr="00B83170" w:rsidRDefault="000F6E92" w:rsidP="00BB4AF9">
      <w:pPr>
        <w:spacing w:after="0" w:line="520" w:lineRule="atLeast"/>
        <w:rPr>
          <w:rFonts w:ascii="Arial" w:hAnsi="Arial" w:cs="Arial"/>
        </w:rPr>
      </w:pPr>
    </w:p>
    <w:p w:rsidR="000F6E92" w:rsidRPr="00B83170" w:rsidRDefault="000F6E92" w:rsidP="000F6E92">
      <w:pPr>
        <w:spacing w:after="0" w:line="360" w:lineRule="auto"/>
        <w:rPr>
          <w:rFonts w:ascii="Arial" w:hAnsi="Arial" w:cs="Arial"/>
        </w:rPr>
      </w:pPr>
    </w:p>
    <w:sectPr w:rsidR="000F6E92" w:rsidRPr="00B83170" w:rsidSect="004013B7">
      <w:footerReference w:type="default" r:id="rId8"/>
      <w:pgSz w:w="11906" w:h="16838"/>
      <w:pgMar w:top="1729" w:right="2126" w:bottom="1729" w:left="212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950" w:rsidRDefault="00D04950" w:rsidP="009E2556">
      <w:pPr>
        <w:spacing w:after="0" w:line="240" w:lineRule="auto"/>
      </w:pPr>
      <w:r>
        <w:separator/>
      </w:r>
    </w:p>
  </w:endnote>
  <w:endnote w:type="continuationSeparator" w:id="0">
    <w:p w:rsidR="00D04950" w:rsidRDefault="00D04950" w:rsidP="009E2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858641"/>
      <w:docPartObj>
        <w:docPartGallery w:val="Page Numbers (Bottom of Page)"/>
        <w:docPartUnique/>
      </w:docPartObj>
    </w:sdtPr>
    <w:sdtEndPr/>
    <w:sdtContent>
      <w:p w:rsidR="00487FA9" w:rsidRDefault="007670C6">
        <w:pPr>
          <w:pStyle w:val="Pidipagina"/>
          <w:jc w:val="center"/>
        </w:pPr>
        <w:r>
          <w:fldChar w:fldCharType="begin"/>
        </w:r>
        <w:r w:rsidR="00487FA9">
          <w:instrText xml:space="preserve"> PAGE   \* MERGEFORMAT </w:instrText>
        </w:r>
        <w:r>
          <w:fldChar w:fldCharType="separate"/>
        </w:r>
        <w:r w:rsidR="00BC3BAD">
          <w:rPr>
            <w:noProof/>
          </w:rPr>
          <w:t>1</w:t>
        </w:r>
        <w:r>
          <w:rPr>
            <w:noProof/>
          </w:rPr>
          <w:fldChar w:fldCharType="end"/>
        </w:r>
      </w:p>
    </w:sdtContent>
  </w:sdt>
  <w:p w:rsidR="00487FA9" w:rsidRDefault="00487FA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950" w:rsidRDefault="00D04950" w:rsidP="009E2556">
      <w:pPr>
        <w:spacing w:after="0" w:line="240" w:lineRule="auto"/>
      </w:pPr>
      <w:r>
        <w:separator/>
      </w:r>
    </w:p>
  </w:footnote>
  <w:footnote w:type="continuationSeparator" w:id="0">
    <w:p w:rsidR="00D04950" w:rsidRDefault="00D04950" w:rsidP="009E2556">
      <w:pPr>
        <w:spacing w:after="0" w:line="240" w:lineRule="auto"/>
      </w:pPr>
      <w:r>
        <w:continuationSeparator/>
      </w:r>
    </w:p>
  </w:footnote>
  <w:footnote w:id="1">
    <w:p w:rsidR="00487FA9" w:rsidRPr="004C214D" w:rsidRDefault="00487FA9" w:rsidP="004C214D">
      <w:pPr>
        <w:pStyle w:val="Testonotaapidipagina"/>
        <w:spacing w:before="60" w:line="205" w:lineRule="exact"/>
        <w:ind w:firstLine="284"/>
        <w:jc w:val="both"/>
        <w:rPr>
          <w:rFonts w:ascii="Arial" w:hAnsi="Arial" w:cs="Arial"/>
          <w:sz w:val="18"/>
          <w:szCs w:val="18"/>
        </w:rPr>
      </w:pPr>
      <w:r w:rsidRPr="00CC7351">
        <w:rPr>
          <w:rStyle w:val="Rimandonotaapidipagina"/>
          <w:rFonts w:ascii="Arial" w:eastAsia="MS Mincho" w:hAnsi="Arial"/>
          <w:snapToGrid w:val="0"/>
          <w:sz w:val="18"/>
          <w:szCs w:val="0"/>
          <w:u w:color="000000"/>
          <w:vertAlign w:val="baseline"/>
          <w:lang w:eastAsia="it-IT"/>
        </w:rPr>
        <w:footnoteRef/>
      </w:r>
      <w:r w:rsidRPr="005100B4">
        <w:rPr>
          <w:sz w:val="22"/>
          <w:szCs w:val="22"/>
        </w:rPr>
        <w:t xml:space="preserve"> </w:t>
      </w:r>
      <w:r w:rsidRPr="004C214D">
        <w:rPr>
          <w:rFonts w:ascii="Arial" w:hAnsi="Arial" w:cs="Arial"/>
          <w:sz w:val="18"/>
          <w:szCs w:val="18"/>
        </w:rPr>
        <w:t>Ora AEEGSI, a seguito dell’attribuzione delle funzioni in materia di regolazione e vigilanza nel settore dei</w:t>
      </w:r>
      <w:r>
        <w:rPr>
          <w:rFonts w:ascii="Arial" w:hAnsi="Arial" w:cs="Arial"/>
          <w:sz w:val="18"/>
          <w:szCs w:val="18"/>
        </w:rPr>
        <w:t xml:space="preserve"> servizi idrici da parte del d.l.</w:t>
      </w:r>
      <w:r w:rsidRPr="004C214D">
        <w:rPr>
          <w:rFonts w:ascii="Arial" w:hAnsi="Arial" w:cs="Arial"/>
          <w:sz w:val="18"/>
          <w:szCs w:val="18"/>
        </w:rPr>
        <w:t xml:space="preserve"> </w:t>
      </w:r>
      <w:r>
        <w:rPr>
          <w:rFonts w:ascii="Arial" w:hAnsi="Arial" w:cs="Arial"/>
          <w:sz w:val="18"/>
          <w:szCs w:val="18"/>
        </w:rPr>
        <w:t xml:space="preserve">6 dicembre </w:t>
      </w:r>
      <w:r w:rsidRPr="004C214D">
        <w:rPr>
          <w:rFonts w:ascii="Arial" w:hAnsi="Arial" w:cs="Arial"/>
          <w:sz w:val="18"/>
          <w:szCs w:val="18"/>
        </w:rPr>
        <w:t>2011</w:t>
      </w:r>
      <w:r>
        <w:rPr>
          <w:rFonts w:ascii="Arial" w:hAnsi="Arial" w:cs="Arial"/>
          <w:sz w:val="18"/>
          <w:szCs w:val="18"/>
        </w:rPr>
        <w:t>, n. 201,</w:t>
      </w:r>
      <w:r w:rsidRPr="004C214D">
        <w:rPr>
          <w:rFonts w:ascii="Arial" w:hAnsi="Arial" w:cs="Arial"/>
          <w:sz w:val="18"/>
          <w:szCs w:val="18"/>
        </w:rPr>
        <w:t xml:space="preserve"> convertito in </w:t>
      </w:r>
      <w:r>
        <w:rPr>
          <w:rFonts w:ascii="Arial" w:hAnsi="Arial" w:cs="Arial"/>
          <w:sz w:val="18"/>
          <w:szCs w:val="18"/>
        </w:rPr>
        <w:t>l</w:t>
      </w:r>
      <w:r w:rsidRPr="004C214D">
        <w:rPr>
          <w:rFonts w:ascii="Arial" w:hAnsi="Arial" w:cs="Arial"/>
          <w:sz w:val="18"/>
          <w:szCs w:val="18"/>
        </w:rPr>
        <w:t xml:space="preserve">. </w:t>
      </w:r>
      <w:r>
        <w:rPr>
          <w:rFonts w:ascii="Arial" w:hAnsi="Arial" w:cs="Arial"/>
          <w:sz w:val="18"/>
          <w:szCs w:val="18"/>
        </w:rPr>
        <w:t xml:space="preserve">22 dicembre </w:t>
      </w:r>
      <w:r w:rsidRPr="004C214D">
        <w:rPr>
          <w:rFonts w:ascii="Arial" w:hAnsi="Arial" w:cs="Arial"/>
          <w:sz w:val="18"/>
          <w:szCs w:val="18"/>
        </w:rPr>
        <w:t>2011</w:t>
      </w:r>
      <w:r>
        <w:rPr>
          <w:rFonts w:ascii="Arial" w:hAnsi="Arial" w:cs="Arial"/>
          <w:sz w:val="18"/>
          <w:szCs w:val="18"/>
        </w:rPr>
        <w:t>, n. 214</w:t>
      </w:r>
      <w:r w:rsidRPr="004C214D">
        <w:rPr>
          <w:rFonts w:ascii="Arial" w:hAnsi="Arial" w:cs="Arial"/>
          <w:sz w:val="18"/>
          <w:szCs w:val="18"/>
        </w:rPr>
        <w:t>.</w:t>
      </w:r>
    </w:p>
  </w:footnote>
  <w:footnote w:id="2">
    <w:p w:rsidR="00487FA9" w:rsidRPr="004C214D" w:rsidRDefault="00487FA9" w:rsidP="004C214D">
      <w:pPr>
        <w:autoSpaceDE w:val="0"/>
        <w:autoSpaceDN w:val="0"/>
        <w:adjustRightInd w:val="0"/>
        <w:spacing w:before="60" w:after="0" w:line="205" w:lineRule="exact"/>
        <w:ind w:firstLine="284"/>
        <w:jc w:val="both"/>
        <w:rPr>
          <w:rFonts w:ascii="Arial" w:hAnsi="Arial" w:cs="Arial"/>
          <w:sz w:val="18"/>
          <w:szCs w:val="18"/>
        </w:rPr>
      </w:pPr>
      <w:r w:rsidRPr="00CC7351">
        <w:rPr>
          <w:rStyle w:val="Rimandonotaapidipagina"/>
          <w:rFonts w:ascii="Arial" w:eastAsia="MS Mincho" w:hAnsi="Arial"/>
          <w:snapToGrid w:val="0"/>
          <w:sz w:val="18"/>
          <w:szCs w:val="0"/>
          <w:u w:color="000000"/>
          <w:vertAlign w:val="baseline"/>
          <w:lang w:eastAsia="it-IT"/>
        </w:rPr>
        <w:footnoteRef/>
      </w:r>
      <w:r w:rsidRPr="004C214D">
        <w:rPr>
          <w:rFonts w:ascii="Arial" w:hAnsi="Arial" w:cs="Arial"/>
          <w:sz w:val="18"/>
          <w:szCs w:val="18"/>
        </w:rPr>
        <w:t xml:space="preserve"> Il G.A. ha, infatti, messo in luce come la legge istitutiva delle dette Autorità, sia una «</w:t>
      </w:r>
      <w:r w:rsidRPr="004C214D">
        <w:rPr>
          <w:rFonts w:ascii="Arial" w:hAnsi="Arial" w:cs="Arial"/>
          <w:i/>
          <w:sz w:val="18"/>
          <w:szCs w:val="18"/>
        </w:rPr>
        <w:t>legge d’indirizzo che poggia su prognosi incerte, rinvii in bianco all’esercizio futuro del potere, inscritto in clausole generali o concetti generali che spetta all’Autorità concretizzare</w:t>
      </w:r>
      <w:r>
        <w:rPr>
          <w:rFonts w:ascii="Arial" w:hAnsi="Arial" w:cs="Arial"/>
          <w:sz w:val="18"/>
          <w:szCs w:val="18"/>
        </w:rPr>
        <w:t>»; cfr. Cons.</w:t>
      </w:r>
      <w:r w:rsidRPr="004C214D">
        <w:rPr>
          <w:rFonts w:ascii="Arial" w:hAnsi="Arial" w:cs="Arial"/>
          <w:sz w:val="18"/>
          <w:szCs w:val="18"/>
        </w:rPr>
        <w:t xml:space="preserve"> Stato, </w:t>
      </w:r>
      <w:r>
        <w:rPr>
          <w:rFonts w:ascii="Arial" w:hAnsi="Arial" w:cs="Arial"/>
          <w:sz w:val="18"/>
          <w:szCs w:val="18"/>
        </w:rPr>
        <w:t>VI, 17 ottobre</w:t>
      </w:r>
      <w:r w:rsidRPr="004C214D">
        <w:rPr>
          <w:rFonts w:ascii="Arial" w:hAnsi="Arial" w:cs="Arial"/>
          <w:sz w:val="18"/>
          <w:szCs w:val="18"/>
        </w:rPr>
        <w:t xml:space="preserve"> 2005, n. 5827</w:t>
      </w:r>
      <w:r w:rsidR="007E0EF7">
        <w:rPr>
          <w:rFonts w:ascii="Arial" w:hAnsi="Arial" w:cs="Arial"/>
          <w:sz w:val="18"/>
          <w:szCs w:val="18"/>
        </w:rPr>
        <w:t xml:space="preserve"> </w:t>
      </w:r>
      <w:r w:rsidR="007E0EF7" w:rsidRPr="00487FA9">
        <w:rPr>
          <w:rFonts w:ascii="Arial" w:hAnsi="Arial" w:cs="Arial"/>
          <w:sz w:val="18"/>
          <w:szCs w:val="18"/>
        </w:rPr>
        <w:t>in</w:t>
      </w:r>
      <w:r w:rsidR="007E0EF7">
        <w:rPr>
          <w:rFonts w:ascii="Arial" w:hAnsi="Arial" w:cs="Arial"/>
          <w:i/>
          <w:sz w:val="18"/>
          <w:szCs w:val="18"/>
        </w:rPr>
        <w:t xml:space="preserve"> </w:t>
      </w:r>
      <w:r w:rsidR="007E0EF7" w:rsidRPr="00487FA9">
        <w:rPr>
          <w:rFonts w:ascii="Arial" w:hAnsi="Arial" w:cs="Arial"/>
          <w:i/>
          <w:sz w:val="18"/>
          <w:szCs w:val="18"/>
        </w:rPr>
        <w:t>www.giustizia-amministrativa.it</w:t>
      </w:r>
      <w:r w:rsidRPr="004C214D">
        <w:rPr>
          <w:rFonts w:ascii="Arial" w:hAnsi="Arial" w:cs="Arial"/>
          <w:sz w:val="18"/>
          <w:szCs w:val="18"/>
        </w:rPr>
        <w:t>.</w:t>
      </w:r>
    </w:p>
  </w:footnote>
  <w:footnote w:id="3">
    <w:p w:rsidR="00487FA9" w:rsidRPr="004C214D" w:rsidRDefault="00487FA9" w:rsidP="004C214D">
      <w:pPr>
        <w:pStyle w:val="Testonotaapidipagina"/>
        <w:spacing w:before="60" w:line="205" w:lineRule="exact"/>
        <w:ind w:firstLine="284"/>
        <w:jc w:val="both"/>
        <w:rPr>
          <w:rFonts w:ascii="Arial" w:hAnsi="Arial" w:cs="Arial"/>
          <w:sz w:val="18"/>
          <w:szCs w:val="18"/>
        </w:rPr>
      </w:pPr>
      <w:r w:rsidRPr="00CC7351">
        <w:rPr>
          <w:rStyle w:val="Rimandonotaapidipagina"/>
          <w:rFonts w:ascii="Arial" w:eastAsia="MS Mincho" w:hAnsi="Arial"/>
          <w:snapToGrid w:val="0"/>
          <w:sz w:val="18"/>
          <w:szCs w:val="0"/>
          <w:u w:color="000000"/>
          <w:vertAlign w:val="baseline"/>
          <w:lang w:eastAsia="it-IT"/>
        </w:rPr>
        <w:footnoteRef/>
      </w:r>
      <w:r>
        <w:rPr>
          <w:rFonts w:ascii="Arial" w:hAnsi="Arial" w:cs="Arial"/>
          <w:sz w:val="18"/>
          <w:szCs w:val="18"/>
        </w:rPr>
        <w:t xml:space="preserve"> M. </w:t>
      </w:r>
      <w:r>
        <w:rPr>
          <w:rFonts w:ascii="Arial" w:hAnsi="Arial" w:cs="Arial"/>
          <w:smallCaps/>
          <w:sz w:val="18"/>
          <w:szCs w:val="18"/>
        </w:rPr>
        <w:t>Ramajoli</w:t>
      </w:r>
      <w:r w:rsidRPr="004C214D">
        <w:rPr>
          <w:rFonts w:ascii="Arial" w:hAnsi="Arial" w:cs="Arial"/>
          <w:sz w:val="18"/>
          <w:szCs w:val="18"/>
        </w:rPr>
        <w:t xml:space="preserve">, </w:t>
      </w:r>
      <w:r w:rsidRPr="00F86709">
        <w:rPr>
          <w:rFonts w:ascii="Arial" w:hAnsi="Arial" w:cs="Arial"/>
          <w:i/>
          <w:sz w:val="18"/>
          <w:szCs w:val="18"/>
        </w:rPr>
        <w:t>Potere di regolazione e sindacato giurisdizionale</w:t>
      </w:r>
      <w:r w:rsidRPr="004C214D">
        <w:rPr>
          <w:rFonts w:ascii="Arial" w:hAnsi="Arial" w:cs="Arial"/>
          <w:sz w:val="18"/>
          <w:szCs w:val="18"/>
        </w:rPr>
        <w:t xml:space="preserve">, in </w:t>
      </w:r>
      <w:r>
        <w:rPr>
          <w:rFonts w:ascii="Arial" w:hAnsi="Arial" w:cs="Arial"/>
          <w:i/>
          <w:sz w:val="18"/>
          <w:szCs w:val="18"/>
        </w:rPr>
        <w:t>Dir. proc. amm.</w:t>
      </w:r>
      <w:r w:rsidRPr="004C214D">
        <w:rPr>
          <w:rFonts w:ascii="Arial" w:hAnsi="Arial" w:cs="Arial"/>
          <w:sz w:val="18"/>
          <w:szCs w:val="18"/>
        </w:rPr>
        <w:t>, 2006,</w:t>
      </w:r>
      <w:r>
        <w:rPr>
          <w:rFonts w:ascii="Arial" w:hAnsi="Arial" w:cs="Arial"/>
          <w:sz w:val="18"/>
          <w:szCs w:val="18"/>
        </w:rPr>
        <w:t xml:space="preserve"> 1,</w:t>
      </w:r>
      <w:r w:rsidRPr="004C214D">
        <w:rPr>
          <w:rFonts w:ascii="Arial" w:hAnsi="Arial" w:cs="Arial"/>
          <w:sz w:val="18"/>
          <w:szCs w:val="18"/>
        </w:rPr>
        <w:t xml:space="preserve"> p. 82.</w:t>
      </w:r>
    </w:p>
  </w:footnote>
  <w:footnote w:id="4">
    <w:p w:rsidR="00487FA9" w:rsidRPr="004C214D" w:rsidRDefault="00487FA9" w:rsidP="004C214D">
      <w:pPr>
        <w:pStyle w:val="Testonotaapidipagina"/>
        <w:spacing w:before="60" w:line="205" w:lineRule="exact"/>
        <w:ind w:firstLine="284"/>
        <w:rPr>
          <w:rFonts w:ascii="Arial" w:hAnsi="Arial" w:cs="Arial"/>
          <w:color w:val="FF0000"/>
          <w:sz w:val="18"/>
          <w:szCs w:val="18"/>
        </w:rPr>
      </w:pPr>
      <w:r w:rsidRPr="00CC7351">
        <w:rPr>
          <w:rStyle w:val="Rimandonotaapidipagina"/>
          <w:rFonts w:ascii="Arial" w:eastAsia="MS Mincho" w:hAnsi="Arial"/>
          <w:snapToGrid w:val="0"/>
          <w:sz w:val="18"/>
          <w:szCs w:val="0"/>
          <w:u w:color="000000"/>
          <w:vertAlign w:val="baseline"/>
          <w:lang w:eastAsia="it-IT"/>
        </w:rPr>
        <w:footnoteRef/>
      </w:r>
      <w:r w:rsidRPr="004C214D">
        <w:rPr>
          <w:rFonts w:ascii="Arial" w:hAnsi="Arial" w:cs="Arial"/>
          <w:sz w:val="18"/>
          <w:szCs w:val="18"/>
        </w:rPr>
        <w:t xml:space="preserve"> Sul punto cfr. </w:t>
      </w:r>
      <w:r w:rsidRPr="004C214D">
        <w:rPr>
          <w:rFonts w:ascii="Arial" w:hAnsi="Arial" w:cs="Arial"/>
          <w:i/>
          <w:sz w:val="18"/>
          <w:szCs w:val="18"/>
        </w:rPr>
        <w:t>amplius</w:t>
      </w:r>
      <w:r w:rsidRPr="004C214D">
        <w:rPr>
          <w:rFonts w:ascii="Arial" w:hAnsi="Arial" w:cs="Arial"/>
          <w:sz w:val="18"/>
          <w:szCs w:val="18"/>
        </w:rPr>
        <w:t xml:space="preserve"> paragrafo 3.</w:t>
      </w:r>
    </w:p>
  </w:footnote>
  <w:footnote w:id="5">
    <w:p w:rsidR="00487FA9" w:rsidRPr="004C214D" w:rsidRDefault="00487FA9" w:rsidP="004C214D">
      <w:pPr>
        <w:spacing w:before="60" w:after="0" w:line="205" w:lineRule="exact"/>
        <w:ind w:firstLine="284"/>
        <w:jc w:val="both"/>
        <w:rPr>
          <w:rFonts w:ascii="Arial" w:eastAsia="Times New Roman" w:hAnsi="Arial" w:cs="Arial"/>
          <w:color w:val="000000"/>
          <w:sz w:val="18"/>
          <w:szCs w:val="18"/>
          <w:lang w:eastAsia="it-IT"/>
        </w:rPr>
      </w:pPr>
      <w:r w:rsidRPr="00CC7351">
        <w:rPr>
          <w:rStyle w:val="Rimandonotaapidipagina"/>
          <w:rFonts w:ascii="Arial" w:eastAsia="MS Mincho" w:hAnsi="Arial"/>
          <w:snapToGrid w:val="0"/>
          <w:sz w:val="18"/>
          <w:szCs w:val="0"/>
          <w:u w:color="000000"/>
          <w:vertAlign w:val="baseline"/>
          <w:lang w:eastAsia="it-IT"/>
        </w:rPr>
        <w:footnoteRef/>
      </w:r>
      <w:r w:rsidRPr="004C214D">
        <w:rPr>
          <w:rFonts w:ascii="Arial" w:hAnsi="Arial" w:cs="Arial"/>
          <w:sz w:val="18"/>
          <w:szCs w:val="18"/>
        </w:rPr>
        <w:t xml:space="preserve"> TAR</w:t>
      </w:r>
      <w:r>
        <w:rPr>
          <w:rFonts w:ascii="Arial" w:hAnsi="Arial" w:cs="Arial"/>
          <w:sz w:val="18"/>
          <w:szCs w:val="18"/>
        </w:rPr>
        <w:t xml:space="preserve"> Lombardia, Milano,</w:t>
      </w:r>
      <w:r w:rsidRPr="004C214D">
        <w:rPr>
          <w:rFonts w:ascii="Arial" w:hAnsi="Arial" w:cs="Arial"/>
          <w:sz w:val="18"/>
          <w:szCs w:val="18"/>
        </w:rPr>
        <w:t xml:space="preserve"> III, </w:t>
      </w:r>
      <w:r>
        <w:rPr>
          <w:rFonts w:ascii="Arial" w:hAnsi="Arial" w:cs="Arial"/>
          <w:sz w:val="18"/>
          <w:szCs w:val="18"/>
        </w:rPr>
        <w:t>24 gennaio 2014</w:t>
      </w:r>
      <w:r w:rsidRPr="004C214D">
        <w:rPr>
          <w:rFonts w:ascii="Arial" w:hAnsi="Arial" w:cs="Arial"/>
          <w:sz w:val="18"/>
          <w:szCs w:val="18"/>
        </w:rPr>
        <w:t>, n. 265</w:t>
      </w:r>
      <w:r>
        <w:rPr>
          <w:rFonts w:ascii="Arial" w:hAnsi="Arial" w:cs="Arial"/>
          <w:sz w:val="18"/>
          <w:szCs w:val="18"/>
        </w:rPr>
        <w:t xml:space="preserve"> in </w:t>
      </w:r>
      <w:r w:rsidRPr="00487FA9">
        <w:rPr>
          <w:rFonts w:ascii="Arial" w:hAnsi="Arial" w:cs="Arial"/>
          <w:i/>
          <w:sz w:val="18"/>
          <w:szCs w:val="18"/>
        </w:rPr>
        <w:t>www.giustizia-amministrativa.it</w:t>
      </w:r>
      <w:r w:rsidRPr="004C214D">
        <w:rPr>
          <w:rFonts w:ascii="Arial" w:hAnsi="Arial" w:cs="Arial"/>
          <w:sz w:val="18"/>
          <w:szCs w:val="18"/>
        </w:rPr>
        <w:t xml:space="preserve">; in particolare la questione aveva ad oggetto l’impugnazione delle delibere con le quali l’Autorità </w:t>
      </w:r>
      <w:r w:rsidRPr="004C214D">
        <w:rPr>
          <w:rFonts w:ascii="Arial" w:eastAsia="Times New Roman" w:hAnsi="Arial" w:cs="Arial"/>
          <w:color w:val="000000"/>
          <w:sz w:val="18"/>
          <w:szCs w:val="18"/>
          <w:lang w:eastAsia="it-IT"/>
        </w:rPr>
        <w:t>era intervenuta sui criteri di quantificazione dei costi di approvvigionamento del gas naturale rilevanti al fine di individuare le condizioni economiche di riferimento (ovvero le condizioni che devono essere necessariamente offerte dalle imprese esercenti la vendita del gas). L’intervento era consistito nell’introduzione di un coefficiente di demoltiplicazione che riduceva l’ammontare dei costi di approvvigionamento riconosciuti; la riduzione veniva tuttavia calcolata sulla base di una mera possibilità di rinegoziazione dei prezzi, ipotizzata dall’AEEGSI sulla base dell’acquisizione di contratti di approvvigionamento di alcuni operatori che appunto avevano rinegoziato i costi di approvvigionamento.</w:t>
      </w:r>
    </w:p>
  </w:footnote>
  <w:footnote w:id="6">
    <w:p w:rsidR="00487FA9" w:rsidRPr="004C214D" w:rsidRDefault="00487FA9" w:rsidP="004C214D">
      <w:pPr>
        <w:pStyle w:val="popolo"/>
        <w:spacing w:before="60" w:line="205" w:lineRule="exact"/>
        <w:ind w:firstLine="284"/>
        <w:rPr>
          <w:rFonts w:ascii="Arial" w:hAnsi="Arial" w:cs="Arial"/>
          <w:i/>
          <w:sz w:val="18"/>
          <w:szCs w:val="18"/>
        </w:rPr>
      </w:pPr>
      <w:r w:rsidRPr="00CC7351">
        <w:rPr>
          <w:rStyle w:val="Rimandonotaapidipagina"/>
          <w:rFonts w:ascii="Arial" w:eastAsia="MS Mincho" w:hAnsi="Arial"/>
          <w:snapToGrid w:val="0"/>
          <w:sz w:val="18"/>
          <w:szCs w:val="0"/>
          <w:u w:color="000000"/>
          <w:vertAlign w:val="baseline"/>
        </w:rPr>
        <w:footnoteRef/>
      </w:r>
      <w:r w:rsidRPr="004C214D">
        <w:rPr>
          <w:rFonts w:ascii="Arial" w:hAnsi="Arial" w:cs="Arial"/>
          <w:sz w:val="18"/>
          <w:szCs w:val="18"/>
        </w:rPr>
        <w:t xml:space="preserve"> TAR Lombardia, Milano, </w:t>
      </w:r>
      <w:r>
        <w:rPr>
          <w:rFonts w:ascii="Arial" w:hAnsi="Arial" w:cs="Arial"/>
          <w:sz w:val="18"/>
          <w:szCs w:val="18"/>
        </w:rPr>
        <w:t xml:space="preserve">III, 11 settembre </w:t>
      </w:r>
      <w:r w:rsidRPr="004C214D">
        <w:rPr>
          <w:rFonts w:ascii="Arial" w:hAnsi="Arial" w:cs="Arial"/>
          <w:sz w:val="18"/>
          <w:szCs w:val="18"/>
        </w:rPr>
        <w:t>2014, n. 2347</w:t>
      </w:r>
      <w:r w:rsidRPr="00487FA9">
        <w:rPr>
          <w:rFonts w:ascii="Arial" w:hAnsi="Arial" w:cs="Arial"/>
          <w:i/>
          <w:sz w:val="18"/>
          <w:szCs w:val="18"/>
        </w:rPr>
        <w:t xml:space="preserve"> </w:t>
      </w:r>
      <w:r w:rsidRPr="00487FA9">
        <w:rPr>
          <w:rFonts w:ascii="Arial" w:hAnsi="Arial" w:cs="Arial"/>
          <w:sz w:val="18"/>
          <w:szCs w:val="18"/>
        </w:rPr>
        <w:t>in</w:t>
      </w:r>
      <w:r>
        <w:rPr>
          <w:rFonts w:ascii="Arial" w:hAnsi="Arial" w:cs="Arial"/>
          <w:i/>
          <w:sz w:val="18"/>
          <w:szCs w:val="18"/>
        </w:rPr>
        <w:t xml:space="preserve"> </w:t>
      </w:r>
      <w:r w:rsidRPr="00487FA9">
        <w:rPr>
          <w:rFonts w:ascii="Arial" w:hAnsi="Arial" w:cs="Arial"/>
          <w:i/>
          <w:sz w:val="18"/>
          <w:szCs w:val="18"/>
        </w:rPr>
        <w:t>www.giustizia-amministrativa.it</w:t>
      </w:r>
      <w:r w:rsidRPr="004C214D">
        <w:rPr>
          <w:rFonts w:ascii="Arial" w:hAnsi="Arial" w:cs="Arial"/>
          <w:sz w:val="18"/>
          <w:szCs w:val="18"/>
        </w:rPr>
        <w:t>; in particolare il TAR, qualificando il vizio in questione come violazione di legge, ha stabilito che «</w:t>
      </w:r>
      <w:r w:rsidRPr="004C214D">
        <w:rPr>
          <w:rFonts w:ascii="Arial" w:hAnsi="Arial" w:cs="Arial"/>
          <w:i/>
          <w:sz w:val="18"/>
          <w:szCs w:val="18"/>
        </w:rPr>
        <w:t xml:space="preserve">dall’esame della normativa di riferimento si ricava che, ai fini della qualificazione di unità di produzione di cogenerazione ad alto rendimento, ciò che rileva è il risparmio di produzione di energia primaria (c.d. PES), e non già la quantità di energia prodotta mediante cogenerazione. La delibera dell’Autorità </w:t>
      </w:r>
      <w:r w:rsidRPr="004C214D">
        <w:rPr>
          <w:rFonts w:ascii="Arial" w:hAnsi="Arial" w:cs="Arial"/>
          <w:sz w:val="18"/>
          <w:szCs w:val="18"/>
        </w:rPr>
        <w:t>(…)</w:t>
      </w:r>
      <w:r w:rsidRPr="004C214D">
        <w:rPr>
          <w:rFonts w:ascii="Arial" w:hAnsi="Arial" w:cs="Arial"/>
          <w:i/>
          <w:sz w:val="18"/>
          <w:szCs w:val="18"/>
        </w:rPr>
        <w:t xml:space="preserve"> invece introduce un criterio che non trova rispondenza nella normativa di riferimento</w:t>
      </w:r>
      <w:r w:rsidRPr="004C214D">
        <w:rPr>
          <w:rFonts w:ascii="Arial" w:hAnsi="Arial" w:cs="Arial"/>
          <w:sz w:val="18"/>
          <w:szCs w:val="18"/>
        </w:rPr>
        <w:t>».</w:t>
      </w:r>
    </w:p>
  </w:footnote>
  <w:footnote w:id="7">
    <w:p w:rsidR="00487FA9" w:rsidRPr="004C214D" w:rsidRDefault="00487FA9" w:rsidP="004C214D">
      <w:pPr>
        <w:pStyle w:val="Testonotaapidipagina"/>
        <w:spacing w:before="60" w:line="205" w:lineRule="exact"/>
        <w:ind w:firstLine="284"/>
        <w:rPr>
          <w:rFonts w:ascii="Arial" w:hAnsi="Arial" w:cs="Arial"/>
          <w:sz w:val="18"/>
          <w:szCs w:val="18"/>
        </w:rPr>
      </w:pPr>
      <w:r w:rsidRPr="00CC7351">
        <w:rPr>
          <w:rStyle w:val="Rimandonotaapidipagina"/>
          <w:rFonts w:ascii="Arial" w:eastAsia="MS Mincho" w:hAnsi="Arial"/>
          <w:snapToGrid w:val="0"/>
          <w:sz w:val="18"/>
          <w:szCs w:val="0"/>
          <w:u w:color="000000"/>
          <w:vertAlign w:val="baseline"/>
          <w:lang w:eastAsia="it-IT"/>
        </w:rPr>
        <w:footnoteRef/>
      </w:r>
      <w:r w:rsidRPr="00CC7351">
        <w:rPr>
          <w:rStyle w:val="Rimandonotaapidipagina"/>
          <w:rFonts w:eastAsia="MS Mincho"/>
          <w:snapToGrid w:val="0"/>
          <w:szCs w:val="0"/>
          <w:u w:color="000000"/>
          <w:vertAlign w:val="baseline"/>
          <w:lang w:eastAsia="it-IT"/>
        </w:rPr>
        <w:t xml:space="preserve"> </w:t>
      </w:r>
      <w:r w:rsidRPr="004C214D">
        <w:rPr>
          <w:rFonts w:ascii="Arial" w:hAnsi="Arial" w:cs="Arial"/>
          <w:sz w:val="18"/>
          <w:szCs w:val="18"/>
        </w:rPr>
        <w:t xml:space="preserve">TAR Lombardia, Milano, IV, </w:t>
      </w:r>
      <w:r>
        <w:rPr>
          <w:rFonts w:ascii="Arial" w:hAnsi="Arial" w:cs="Arial"/>
          <w:sz w:val="18"/>
          <w:szCs w:val="18"/>
        </w:rPr>
        <w:t xml:space="preserve">23 ottobre </w:t>
      </w:r>
      <w:r w:rsidRPr="004C214D">
        <w:rPr>
          <w:rFonts w:ascii="Arial" w:hAnsi="Arial" w:cs="Arial"/>
          <w:sz w:val="18"/>
          <w:szCs w:val="18"/>
        </w:rPr>
        <w:t>2008, n. 5197</w:t>
      </w:r>
      <w:r w:rsidRPr="00487FA9">
        <w:rPr>
          <w:rFonts w:ascii="Arial" w:hAnsi="Arial" w:cs="Arial"/>
          <w:sz w:val="18"/>
          <w:szCs w:val="18"/>
        </w:rPr>
        <w:t xml:space="preserve"> in</w:t>
      </w:r>
      <w:r>
        <w:rPr>
          <w:rFonts w:ascii="Arial" w:hAnsi="Arial" w:cs="Arial"/>
          <w:i/>
          <w:sz w:val="18"/>
          <w:szCs w:val="18"/>
        </w:rPr>
        <w:t xml:space="preserve"> </w:t>
      </w:r>
      <w:r w:rsidRPr="00487FA9">
        <w:rPr>
          <w:rFonts w:ascii="Arial" w:hAnsi="Arial" w:cs="Arial"/>
          <w:i/>
          <w:sz w:val="18"/>
          <w:szCs w:val="18"/>
        </w:rPr>
        <w:t>www.giustizia-amministrativa.it</w:t>
      </w:r>
      <w:r w:rsidRPr="004C214D">
        <w:rPr>
          <w:rFonts w:ascii="Arial" w:hAnsi="Arial" w:cs="Arial"/>
          <w:sz w:val="18"/>
          <w:szCs w:val="18"/>
        </w:rPr>
        <w:t>.</w:t>
      </w:r>
    </w:p>
  </w:footnote>
  <w:footnote w:id="8">
    <w:p w:rsidR="00487FA9" w:rsidRPr="004C214D" w:rsidRDefault="00487FA9" w:rsidP="004C214D">
      <w:pPr>
        <w:pStyle w:val="Testonotaapidipagina"/>
        <w:spacing w:before="60" w:line="205" w:lineRule="exact"/>
        <w:ind w:firstLine="284"/>
        <w:rPr>
          <w:rFonts w:ascii="Arial" w:hAnsi="Arial" w:cs="Arial"/>
          <w:sz w:val="18"/>
          <w:szCs w:val="18"/>
        </w:rPr>
      </w:pPr>
      <w:r w:rsidRPr="00CC7351">
        <w:rPr>
          <w:rStyle w:val="Rimandonotaapidipagina"/>
          <w:rFonts w:ascii="Arial" w:eastAsia="MS Mincho" w:hAnsi="Arial"/>
          <w:snapToGrid w:val="0"/>
          <w:sz w:val="18"/>
          <w:szCs w:val="0"/>
          <w:u w:color="000000"/>
          <w:vertAlign w:val="baseline"/>
          <w:lang w:eastAsia="it-IT"/>
        </w:rPr>
        <w:footnoteRef/>
      </w:r>
      <w:r w:rsidRPr="00CC7351">
        <w:rPr>
          <w:rStyle w:val="Rimandonotaapidipagina"/>
          <w:rFonts w:eastAsia="MS Mincho"/>
          <w:snapToGrid w:val="0"/>
          <w:szCs w:val="0"/>
          <w:u w:color="000000"/>
          <w:vertAlign w:val="baseline"/>
          <w:lang w:eastAsia="it-IT"/>
        </w:rPr>
        <w:t xml:space="preserve"> </w:t>
      </w:r>
      <w:r w:rsidRPr="004C214D">
        <w:rPr>
          <w:rFonts w:ascii="Arial" w:eastAsia="Times New Roman" w:hAnsi="Arial" w:cs="Arial"/>
          <w:color w:val="000000"/>
          <w:sz w:val="18"/>
          <w:szCs w:val="18"/>
          <w:lang w:eastAsia="it-IT"/>
        </w:rPr>
        <w:t xml:space="preserve">Consiglio di Stato, </w:t>
      </w:r>
      <w:r>
        <w:rPr>
          <w:rFonts w:ascii="Arial" w:eastAsia="Times New Roman" w:hAnsi="Arial" w:cs="Arial"/>
          <w:color w:val="000000"/>
          <w:sz w:val="18"/>
          <w:szCs w:val="18"/>
          <w:lang w:eastAsia="it-IT"/>
        </w:rPr>
        <w:t xml:space="preserve">VI, 2 maggio </w:t>
      </w:r>
      <w:r w:rsidRPr="004C214D">
        <w:rPr>
          <w:rFonts w:ascii="Arial" w:eastAsia="Times New Roman" w:hAnsi="Arial" w:cs="Arial"/>
          <w:color w:val="000000"/>
          <w:sz w:val="18"/>
          <w:szCs w:val="18"/>
          <w:lang w:eastAsia="it-IT"/>
        </w:rPr>
        <w:t>2012</w:t>
      </w:r>
      <w:r>
        <w:rPr>
          <w:rFonts w:ascii="Arial" w:eastAsia="Times New Roman" w:hAnsi="Arial" w:cs="Arial"/>
          <w:color w:val="000000"/>
          <w:sz w:val="18"/>
          <w:szCs w:val="18"/>
          <w:lang w:eastAsia="it-IT"/>
        </w:rPr>
        <w:t>,</w:t>
      </w:r>
      <w:r w:rsidRPr="004C214D">
        <w:rPr>
          <w:rFonts w:ascii="Arial" w:eastAsia="Times New Roman" w:hAnsi="Arial" w:cs="Arial"/>
          <w:color w:val="000000"/>
          <w:sz w:val="18"/>
          <w:szCs w:val="18"/>
          <w:lang w:eastAsia="it-IT"/>
        </w:rPr>
        <w:t xml:space="preserve"> n. 2521</w:t>
      </w:r>
      <w:r w:rsidRPr="00487FA9">
        <w:rPr>
          <w:rFonts w:ascii="Arial" w:hAnsi="Arial" w:cs="Arial"/>
          <w:sz w:val="18"/>
          <w:szCs w:val="18"/>
        </w:rPr>
        <w:t xml:space="preserve"> in</w:t>
      </w:r>
      <w:r>
        <w:rPr>
          <w:rFonts w:ascii="Arial" w:hAnsi="Arial" w:cs="Arial"/>
          <w:i/>
          <w:sz w:val="18"/>
          <w:szCs w:val="18"/>
        </w:rPr>
        <w:t xml:space="preserve"> </w:t>
      </w:r>
      <w:r w:rsidRPr="00487FA9">
        <w:rPr>
          <w:rFonts w:ascii="Arial" w:hAnsi="Arial" w:cs="Arial"/>
          <w:i/>
          <w:sz w:val="18"/>
          <w:szCs w:val="18"/>
        </w:rPr>
        <w:t>www.giustizia-amministrativa.it</w:t>
      </w:r>
      <w:r w:rsidRPr="004C214D">
        <w:rPr>
          <w:rFonts w:ascii="Arial" w:eastAsia="Times New Roman" w:hAnsi="Arial" w:cs="Arial"/>
          <w:color w:val="000000"/>
          <w:sz w:val="18"/>
          <w:szCs w:val="18"/>
          <w:lang w:eastAsia="it-IT"/>
        </w:rPr>
        <w:t>.</w:t>
      </w:r>
    </w:p>
  </w:footnote>
  <w:footnote w:id="9">
    <w:p w:rsidR="00487FA9" w:rsidRPr="004C214D" w:rsidRDefault="00487FA9" w:rsidP="004C214D">
      <w:pPr>
        <w:spacing w:before="60" w:after="0" w:line="205" w:lineRule="exact"/>
        <w:ind w:firstLine="284"/>
        <w:jc w:val="both"/>
        <w:rPr>
          <w:rFonts w:ascii="Arial" w:hAnsi="Arial" w:cs="Arial"/>
          <w:sz w:val="18"/>
          <w:szCs w:val="18"/>
        </w:rPr>
      </w:pPr>
      <w:r w:rsidRPr="00CC7351">
        <w:rPr>
          <w:rStyle w:val="Rimandonotaapidipagina"/>
          <w:rFonts w:ascii="Arial" w:eastAsia="MS Mincho" w:hAnsi="Arial"/>
          <w:snapToGrid w:val="0"/>
          <w:sz w:val="18"/>
          <w:szCs w:val="0"/>
          <w:u w:color="000000"/>
          <w:vertAlign w:val="baseline"/>
          <w:lang w:eastAsia="it-IT"/>
        </w:rPr>
        <w:footnoteRef/>
      </w:r>
      <w:r w:rsidRPr="00CC7351">
        <w:rPr>
          <w:rStyle w:val="Rimandonotaapidipagina"/>
          <w:rFonts w:eastAsia="MS Mincho"/>
          <w:snapToGrid w:val="0"/>
          <w:szCs w:val="0"/>
          <w:u w:color="000000"/>
          <w:vertAlign w:val="baseline"/>
          <w:lang w:eastAsia="it-IT"/>
        </w:rPr>
        <w:t xml:space="preserve"> </w:t>
      </w:r>
      <w:r w:rsidRPr="004C214D">
        <w:rPr>
          <w:rFonts w:ascii="Arial" w:hAnsi="Arial" w:cs="Arial"/>
          <w:sz w:val="18"/>
          <w:szCs w:val="18"/>
        </w:rPr>
        <w:t>TAR Lombardia, Mila</w:t>
      </w:r>
      <w:r>
        <w:rPr>
          <w:rFonts w:ascii="Arial" w:hAnsi="Arial" w:cs="Arial"/>
          <w:sz w:val="18"/>
          <w:szCs w:val="18"/>
        </w:rPr>
        <w:t xml:space="preserve">no, III, 17 giugno </w:t>
      </w:r>
      <w:r w:rsidRPr="004C214D">
        <w:rPr>
          <w:rFonts w:ascii="Arial" w:hAnsi="Arial" w:cs="Arial"/>
          <w:sz w:val="18"/>
          <w:szCs w:val="18"/>
        </w:rPr>
        <w:t>2014, n.1587</w:t>
      </w:r>
      <w:r w:rsidRPr="00487FA9">
        <w:rPr>
          <w:rFonts w:ascii="Arial" w:hAnsi="Arial" w:cs="Arial"/>
          <w:sz w:val="18"/>
          <w:szCs w:val="18"/>
        </w:rPr>
        <w:t xml:space="preserve"> in</w:t>
      </w:r>
      <w:r>
        <w:rPr>
          <w:rFonts w:ascii="Arial" w:hAnsi="Arial" w:cs="Arial"/>
          <w:i/>
          <w:sz w:val="18"/>
          <w:szCs w:val="18"/>
        </w:rPr>
        <w:t xml:space="preserve"> </w:t>
      </w:r>
      <w:r w:rsidRPr="00487FA9">
        <w:rPr>
          <w:rFonts w:ascii="Arial" w:hAnsi="Arial" w:cs="Arial"/>
          <w:i/>
          <w:sz w:val="18"/>
          <w:szCs w:val="18"/>
        </w:rPr>
        <w:t>www.giustizia-amministrativa.it</w:t>
      </w:r>
      <w:r w:rsidRPr="004C214D">
        <w:rPr>
          <w:rFonts w:ascii="Arial" w:hAnsi="Arial" w:cs="Arial"/>
          <w:sz w:val="18"/>
          <w:szCs w:val="18"/>
        </w:rPr>
        <w:t>.</w:t>
      </w:r>
    </w:p>
  </w:footnote>
  <w:footnote w:id="10">
    <w:p w:rsidR="00487FA9" w:rsidRPr="004C214D" w:rsidRDefault="00487FA9" w:rsidP="00F86709">
      <w:pPr>
        <w:pStyle w:val="maiuscoletto"/>
      </w:pPr>
      <w:r w:rsidRPr="00CC7351">
        <w:rPr>
          <w:rStyle w:val="Rimandonotaapidipagina"/>
          <w:rFonts w:eastAsia="MS Mincho" w:cs="Times New Roman"/>
          <w:snapToGrid w:val="0"/>
          <w:szCs w:val="0"/>
          <w:u w:color="000000"/>
          <w:vertAlign w:val="baseline"/>
          <w:lang w:eastAsia="it-IT"/>
        </w:rPr>
        <w:footnoteRef/>
      </w:r>
      <w:r w:rsidRPr="004C214D">
        <w:t xml:space="preserve"> A.</w:t>
      </w:r>
      <w:r>
        <w:t xml:space="preserve"> </w:t>
      </w:r>
      <w:r>
        <w:rPr>
          <w:smallCaps/>
        </w:rPr>
        <w:t>Travi</w:t>
      </w:r>
      <w:r w:rsidRPr="004C214D">
        <w:t xml:space="preserve">, </w:t>
      </w:r>
      <w:r w:rsidRPr="00F86709">
        <w:rPr>
          <w:i/>
        </w:rPr>
        <w:t>Autorità per l’energia elettrica e giudice amministrativo</w:t>
      </w:r>
      <w:r w:rsidRPr="004C214D">
        <w:t>, in E.</w:t>
      </w:r>
      <w:r>
        <w:t xml:space="preserve"> </w:t>
      </w:r>
      <w:r w:rsidRPr="00B832A8">
        <w:rPr>
          <w:smallCaps/>
        </w:rPr>
        <w:t>B</w:t>
      </w:r>
      <w:r>
        <w:rPr>
          <w:smallCaps/>
        </w:rPr>
        <w:t xml:space="preserve">ruti </w:t>
      </w:r>
      <w:r w:rsidRPr="00B832A8">
        <w:rPr>
          <w:smallCaps/>
        </w:rPr>
        <w:t>Liberati</w:t>
      </w:r>
      <w:r w:rsidRPr="004C214D">
        <w:t>-F.</w:t>
      </w:r>
      <w:r>
        <w:t xml:space="preserve"> </w:t>
      </w:r>
      <w:r w:rsidRPr="004C214D">
        <w:t>D</w:t>
      </w:r>
      <w:r>
        <w:rPr>
          <w:smallCaps/>
        </w:rPr>
        <w:t>onati (</w:t>
      </w:r>
      <w:r>
        <w:t>a cura di)</w:t>
      </w:r>
      <w:r w:rsidRPr="004C214D">
        <w:t xml:space="preserve">, </w:t>
      </w:r>
      <w:r w:rsidRPr="00F86709">
        <w:rPr>
          <w:i/>
        </w:rPr>
        <w:t>Il nuovo diritto dell’energia tra regolazione e concorrenza</w:t>
      </w:r>
      <w:r w:rsidRPr="004C214D">
        <w:t>,</w:t>
      </w:r>
      <w:r>
        <w:t xml:space="preserve"> Giappichelli,</w:t>
      </w:r>
      <w:r w:rsidRPr="004C214D">
        <w:t xml:space="preserve"> Torino, 2007, p</w:t>
      </w:r>
      <w:r>
        <w:t>p.</w:t>
      </w:r>
      <w:r w:rsidRPr="004C214D">
        <w:t xml:space="preserve"> 77 e ss.</w:t>
      </w:r>
    </w:p>
  </w:footnote>
  <w:footnote w:id="11">
    <w:p w:rsidR="00487FA9" w:rsidRPr="004C214D" w:rsidRDefault="00487FA9" w:rsidP="004C214D">
      <w:pPr>
        <w:spacing w:before="60" w:after="0" w:line="205" w:lineRule="exact"/>
        <w:ind w:firstLine="284"/>
        <w:jc w:val="both"/>
        <w:rPr>
          <w:rFonts w:ascii="Arial" w:eastAsia="Times New Roman" w:hAnsi="Arial" w:cs="Arial"/>
          <w:color w:val="000000"/>
          <w:sz w:val="18"/>
          <w:szCs w:val="18"/>
          <w:lang w:eastAsia="it-IT"/>
        </w:rPr>
      </w:pPr>
      <w:r w:rsidRPr="00CC7351">
        <w:rPr>
          <w:rStyle w:val="Rimandonotaapidipagina"/>
          <w:rFonts w:ascii="Arial" w:eastAsia="MS Mincho" w:hAnsi="Arial"/>
          <w:snapToGrid w:val="0"/>
          <w:sz w:val="18"/>
          <w:szCs w:val="0"/>
          <w:u w:color="000000"/>
          <w:vertAlign w:val="baseline"/>
          <w:lang w:eastAsia="it-IT"/>
        </w:rPr>
        <w:footnoteRef/>
      </w:r>
      <w:r w:rsidRPr="004C214D">
        <w:rPr>
          <w:rFonts w:ascii="Arial" w:hAnsi="Arial" w:cs="Arial"/>
          <w:sz w:val="18"/>
          <w:szCs w:val="18"/>
        </w:rPr>
        <w:t xml:space="preserve"> TAR</w:t>
      </w:r>
      <w:r>
        <w:rPr>
          <w:rFonts w:ascii="Arial" w:hAnsi="Arial" w:cs="Arial"/>
          <w:sz w:val="18"/>
          <w:szCs w:val="18"/>
        </w:rPr>
        <w:t xml:space="preserve"> Lombardia, Milano, III, 17 giugno </w:t>
      </w:r>
      <w:r w:rsidRPr="004C214D">
        <w:rPr>
          <w:rFonts w:ascii="Arial" w:hAnsi="Arial" w:cs="Arial"/>
          <w:sz w:val="18"/>
          <w:szCs w:val="18"/>
        </w:rPr>
        <w:t>2014, n. 1587</w:t>
      </w:r>
      <w:r w:rsidRPr="00487FA9">
        <w:rPr>
          <w:rFonts w:ascii="Arial" w:hAnsi="Arial" w:cs="Arial"/>
          <w:sz w:val="18"/>
          <w:szCs w:val="18"/>
        </w:rPr>
        <w:t xml:space="preserve"> in</w:t>
      </w:r>
      <w:r>
        <w:rPr>
          <w:rFonts w:ascii="Arial" w:hAnsi="Arial" w:cs="Arial"/>
          <w:i/>
          <w:sz w:val="18"/>
          <w:szCs w:val="18"/>
        </w:rPr>
        <w:t xml:space="preserve"> </w:t>
      </w:r>
      <w:r w:rsidRPr="00487FA9">
        <w:rPr>
          <w:rFonts w:ascii="Arial" w:hAnsi="Arial" w:cs="Arial"/>
          <w:i/>
          <w:sz w:val="18"/>
          <w:szCs w:val="18"/>
        </w:rPr>
        <w:t>www.giustizia-amministrativa.it</w:t>
      </w:r>
      <w:r w:rsidRPr="004C214D">
        <w:rPr>
          <w:rFonts w:ascii="Arial" w:hAnsi="Arial" w:cs="Arial"/>
          <w:sz w:val="18"/>
          <w:szCs w:val="18"/>
        </w:rPr>
        <w:t xml:space="preserve">; al fine di risolvere un problema di insolvenza di crediti da parte degli utenti di rete nei confronti del Gestore della rete in relazione al servizio di bilanciamento nel mercato del gas naturale, l’AEEGSI aveva istituito un meccanismo di garanzia nonché, in caso non funzionamento del primo, un ulteriore meccanismo di socializzazione dei detti crediti non recuperati da parte del gestore tramite creazione di apposita componente tariffaria gravante sugli utenti della rete. Ciò posto, nella ricostruzione fatta dalla sentenza, nelle premesse dell’azione dell’Autorità vi era l’idea che il meccanismo di socializzazione dei crediti non recuperati dal Gestore dovesse operare solo come </w:t>
      </w:r>
      <w:r w:rsidRPr="004C214D">
        <w:rPr>
          <w:rFonts w:ascii="Arial" w:hAnsi="Arial" w:cs="Arial"/>
          <w:i/>
          <w:sz w:val="18"/>
          <w:szCs w:val="18"/>
        </w:rPr>
        <w:t>extrema ratio</w:t>
      </w:r>
      <w:r w:rsidRPr="004C214D">
        <w:rPr>
          <w:rFonts w:ascii="Arial" w:hAnsi="Arial" w:cs="Arial"/>
          <w:sz w:val="18"/>
          <w:szCs w:val="18"/>
        </w:rPr>
        <w:t>, in caso di non funzionamento del sistema di garanzie ed in ogni caso solo ove non vi fosse responsabilità del gestore nella gestione dei crediti. Nel concreto invece il meccanismo di socializzazione è stato adottato prima di effettuare l’istruttoria volta a chiarire l’inevitabilità dei presupposti.</w:t>
      </w:r>
    </w:p>
  </w:footnote>
  <w:footnote w:id="12">
    <w:p w:rsidR="00487FA9" w:rsidRPr="004C214D" w:rsidRDefault="00487FA9" w:rsidP="004C214D">
      <w:pPr>
        <w:spacing w:before="60" w:after="0" w:line="205" w:lineRule="exact"/>
        <w:ind w:firstLine="284"/>
        <w:jc w:val="both"/>
        <w:rPr>
          <w:rFonts w:ascii="Arial" w:hAnsi="Arial" w:cs="Arial"/>
          <w:sz w:val="18"/>
          <w:szCs w:val="18"/>
        </w:rPr>
      </w:pPr>
      <w:r w:rsidRPr="00CC7351">
        <w:rPr>
          <w:rStyle w:val="Rimandonotaapidipagina"/>
          <w:rFonts w:ascii="Arial" w:eastAsia="MS Mincho" w:hAnsi="Arial"/>
          <w:snapToGrid w:val="0"/>
          <w:sz w:val="18"/>
          <w:szCs w:val="0"/>
          <w:u w:color="000000"/>
          <w:vertAlign w:val="baseline"/>
          <w:lang w:eastAsia="it-IT"/>
        </w:rPr>
        <w:footnoteRef/>
      </w:r>
      <w:r w:rsidRPr="004C214D">
        <w:rPr>
          <w:rFonts w:ascii="Arial" w:hAnsi="Arial" w:cs="Arial"/>
          <w:sz w:val="18"/>
          <w:szCs w:val="18"/>
        </w:rPr>
        <w:t xml:space="preserve"> TAR Lombardia, Milano, III,</w:t>
      </w:r>
      <w:r>
        <w:rPr>
          <w:rFonts w:ascii="Arial" w:hAnsi="Arial" w:cs="Arial"/>
          <w:sz w:val="18"/>
          <w:szCs w:val="18"/>
        </w:rPr>
        <w:t xml:space="preserve"> 24 giugno </w:t>
      </w:r>
      <w:r w:rsidRPr="004C214D">
        <w:rPr>
          <w:rFonts w:ascii="Arial" w:hAnsi="Arial" w:cs="Arial"/>
          <w:sz w:val="18"/>
          <w:szCs w:val="18"/>
        </w:rPr>
        <w:t>2014, n. 1648</w:t>
      </w:r>
      <w:r w:rsidRPr="00487FA9">
        <w:rPr>
          <w:rFonts w:ascii="Arial" w:hAnsi="Arial" w:cs="Arial"/>
          <w:sz w:val="18"/>
          <w:szCs w:val="18"/>
        </w:rPr>
        <w:t xml:space="preserve"> in</w:t>
      </w:r>
      <w:r>
        <w:rPr>
          <w:rFonts w:ascii="Arial" w:hAnsi="Arial" w:cs="Arial"/>
          <w:i/>
          <w:sz w:val="18"/>
          <w:szCs w:val="18"/>
        </w:rPr>
        <w:t xml:space="preserve"> </w:t>
      </w:r>
      <w:r w:rsidRPr="00487FA9">
        <w:rPr>
          <w:rFonts w:ascii="Arial" w:hAnsi="Arial" w:cs="Arial"/>
          <w:i/>
          <w:sz w:val="18"/>
          <w:szCs w:val="18"/>
        </w:rPr>
        <w:t>www.giustizia-amministrativa.it</w:t>
      </w:r>
      <w:r w:rsidRPr="004C214D">
        <w:rPr>
          <w:rFonts w:ascii="Arial" w:hAnsi="Arial" w:cs="Arial"/>
          <w:sz w:val="18"/>
          <w:szCs w:val="18"/>
        </w:rPr>
        <w:t xml:space="preserve">; nello specifico, l’AEEGSI sul presupposto della registrazione di una consistente differenza tra l’energia programmata in prelievo e l’energia prelevata effettivamente dagli utenti, ed al fine di prevenire un pericolo per il sistema elettrico, adottava una delibera in cui calcolava i prezzi di sbilanciamento in maniera deteriore per gli operatori. In particolare, l’assunto dell’Autorità circa la sussistenza di un aumento dei costi per gli utenti e di pericolo del sistema veniva dedotto dalla rilevazione della divaricazione tra energia programmata e energia prelevata, senza svolgimento di attività istruttoria sull’effettivo aumento dei costi e dell’effettivo pericolo del sistema. Successivamente alla suddetta delibera, l’insussistenza di rischi veniva rilevata dall’indagine dello stesso Gestore della rete. </w:t>
      </w:r>
    </w:p>
  </w:footnote>
  <w:footnote w:id="13">
    <w:p w:rsidR="00487FA9" w:rsidRPr="004C214D" w:rsidRDefault="00487FA9" w:rsidP="004C214D">
      <w:pPr>
        <w:pStyle w:val="Testonotaapidipagina"/>
        <w:spacing w:before="60" w:line="205" w:lineRule="exact"/>
        <w:ind w:firstLine="284"/>
        <w:jc w:val="both"/>
        <w:rPr>
          <w:rFonts w:ascii="Arial" w:hAnsi="Arial" w:cs="Arial"/>
          <w:sz w:val="18"/>
          <w:szCs w:val="18"/>
        </w:rPr>
      </w:pPr>
      <w:r w:rsidRPr="00CC7351">
        <w:rPr>
          <w:rStyle w:val="Rimandonotaapidipagina"/>
          <w:rFonts w:ascii="Arial" w:eastAsia="MS Mincho" w:hAnsi="Arial"/>
          <w:snapToGrid w:val="0"/>
          <w:sz w:val="18"/>
          <w:szCs w:val="0"/>
          <w:u w:color="000000"/>
          <w:vertAlign w:val="baseline"/>
          <w:lang w:eastAsia="it-IT"/>
        </w:rPr>
        <w:footnoteRef/>
      </w:r>
      <w:r w:rsidRPr="004C214D">
        <w:rPr>
          <w:rFonts w:ascii="Arial" w:hAnsi="Arial" w:cs="Arial"/>
          <w:sz w:val="18"/>
          <w:szCs w:val="18"/>
        </w:rPr>
        <w:t xml:space="preserve"> Così la già citata TAR</w:t>
      </w:r>
      <w:r>
        <w:rPr>
          <w:rFonts w:ascii="Arial" w:hAnsi="Arial" w:cs="Arial"/>
          <w:sz w:val="18"/>
          <w:szCs w:val="18"/>
        </w:rPr>
        <w:t xml:space="preserve"> Milano, </w:t>
      </w:r>
      <w:r w:rsidRPr="004C214D">
        <w:rPr>
          <w:rFonts w:ascii="Arial" w:hAnsi="Arial" w:cs="Arial"/>
          <w:sz w:val="18"/>
          <w:szCs w:val="18"/>
        </w:rPr>
        <w:t>III,</w:t>
      </w:r>
      <w:r>
        <w:rPr>
          <w:rFonts w:ascii="Arial" w:hAnsi="Arial" w:cs="Arial"/>
          <w:sz w:val="18"/>
          <w:szCs w:val="18"/>
        </w:rPr>
        <w:t xml:space="preserve"> 24 gennaio 2014, n. 265</w:t>
      </w:r>
      <w:r w:rsidRPr="00487FA9">
        <w:rPr>
          <w:rFonts w:ascii="Arial" w:hAnsi="Arial" w:cs="Arial"/>
          <w:sz w:val="18"/>
          <w:szCs w:val="18"/>
        </w:rPr>
        <w:t xml:space="preserve"> in</w:t>
      </w:r>
      <w:r>
        <w:rPr>
          <w:rFonts w:ascii="Arial" w:hAnsi="Arial" w:cs="Arial"/>
          <w:i/>
          <w:sz w:val="18"/>
          <w:szCs w:val="18"/>
        </w:rPr>
        <w:t xml:space="preserve"> </w:t>
      </w:r>
      <w:r w:rsidRPr="00487FA9">
        <w:rPr>
          <w:rFonts w:ascii="Arial" w:hAnsi="Arial" w:cs="Arial"/>
          <w:i/>
          <w:sz w:val="18"/>
          <w:szCs w:val="18"/>
        </w:rPr>
        <w:t>www.giustizia-amministrativa.it</w:t>
      </w:r>
      <w:r w:rsidRPr="004C214D">
        <w:rPr>
          <w:rFonts w:ascii="Arial" w:hAnsi="Arial" w:cs="Arial"/>
          <w:sz w:val="18"/>
          <w:szCs w:val="18"/>
        </w:rPr>
        <w:t>, dove viene messo in rilievo che considerare come riferimento i costi di approvvigionamento dei grandi operatori di mercato sia discriminatorio nei confronti dei piccoli operatori che non possono vantare il potere contrattuale dei primi nella determinazione del prezzo di acquisto del gas; la diminuzione del prezzo di approvvigionamento del gas non è dunque una previsione realistica e oggettiva se basata solo sulla quota parte di contratti stipulati dagli operatori rilevanti.</w:t>
      </w:r>
    </w:p>
  </w:footnote>
  <w:footnote w:id="14">
    <w:p w:rsidR="00487FA9" w:rsidRPr="004C214D" w:rsidRDefault="00487FA9" w:rsidP="004C214D">
      <w:pPr>
        <w:pStyle w:val="Testonotaapidipagina"/>
        <w:spacing w:before="60" w:line="205" w:lineRule="exact"/>
        <w:ind w:firstLine="284"/>
        <w:jc w:val="both"/>
        <w:rPr>
          <w:rFonts w:ascii="Arial" w:hAnsi="Arial" w:cs="Arial"/>
          <w:sz w:val="18"/>
          <w:szCs w:val="18"/>
        </w:rPr>
      </w:pPr>
      <w:r w:rsidRPr="00CC7351">
        <w:rPr>
          <w:rStyle w:val="Rimandonotaapidipagina"/>
          <w:rFonts w:ascii="Arial" w:eastAsia="MS Mincho" w:hAnsi="Arial"/>
          <w:snapToGrid w:val="0"/>
          <w:sz w:val="18"/>
          <w:szCs w:val="0"/>
          <w:u w:color="000000"/>
          <w:vertAlign w:val="baseline"/>
          <w:lang w:eastAsia="it-IT"/>
        </w:rPr>
        <w:footnoteRef/>
      </w:r>
      <w:r w:rsidRPr="004C214D">
        <w:rPr>
          <w:rFonts w:ascii="Arial" w:hAnsi="Arial" w:cs="Arial"/>
          <w:sz w:val="18"/>
          <w:szCs w:val="18"/>
        </w:rPr>
        <w:t xml:space="preserve"> In particolare per regolazioni asimmetriche devono intendersi quelle misure  di carattere temporaneo volte a disciplinare diversamente imprese operanti nello stesso mercato, per favorire l’ingresso e lo sviluppo degli ultimi entranti a spese dei monopolisti e dei precedenti entranti; cfr. S.</w:t>
      </w:r>
      <w:r>
        <w:rPr>
          <w:rFonts w:ascii="Arial" w:hAnsi="Arial" w:cs="Arial"/>
          <w:sz w:val="18"/>
          <w:szCs w:val="18"/>
        </w:rPr>
        <w:t xml:space="preserve"> </w:t>
      </w:r>
      <w:r>
        <w:rPr>
          <w:rFonts w:ascii="Arial" w:hAnsi="Arial" w:cs="Arial"/>
          <w:smallCaps/>
          <w:sz w:val="18"/>
          <w:szCs w:val="18"/>
        </w:rPr>
        <w:t>Cassese</w:t>
      </w:r>
      <w:r w:rsidRPr="004C214D">
        <w:rPr>
          <w:rFonts w:ascii="Arial" w:hAnsi="Arial" w:cs="Arial"/>
          <w:sz w:val="18"/>
          <w:szCs w:val="18"/>
        </w:rPr>
        <w:t xml:space="preserve">, </w:t>
      </w:r>
      <w:r w:rsidRPr="00475FD4">
        <w:rPr>
          <w:rFonts w:ascii="Arial" w:hAnsi="Arial" w:cs="Arial"/>
          <w:i/>
          <w:sz w:val="18"/>
          <w:szCs w:val="18"/>
        </w:rPr>
        <w:t>Dalle regole del gioco al gioco delle regole</w:t>
      </w:r>
      <w:r w:rsidRPr="004C214D">
        <w:rPr>
          <w:rFonts w:ascii="Arial" w:hAnsi="Arial" w:cs="Arial"/>
          <w:sz w:val="18"/>
          <w:szCs w:val="18"/>
        </w:rPr>
        <w:t xml:space="preserve">, in </w:t>
      </w:r>
      <w:r>
        <w:rPr>
          <w:rFonts w:ascii="Arial" w:hAnsi="Arial" w:cs="Arial"/>
          <w:i/>
          <w:sz w:val="18"/>
          <w:szCs w:val="18"/>
        </w:rPr>
        <w:t>Mer.</w:t>
      </w:r>
      <w:r w:rsidRPr="00475FD4">
        <w:rPr>
          <w:rFonts w:ascii="Arial" w:hAnsi="Arial" w:cs="Arial"/>
          <w:i/>
          <w:sz w:val="18"/>
          <w:szCs w:val="18"/>
        </w:rPr>
        <w:t xml:space="preserve"> conc</w:t>
      </w:r>
      <w:r>
        <w:rPr>
          <w:rFonts w:ascii="Arial" w:hAnsi="Arial" w:cs="Arial"/>
          <w:i/>
          <w:sz w:val="18"/>
          <w:szCs w:val="18"/>
        </w:rPr>
        <w:t>. reg.</w:t>
      </w:r>
      <w:r w:rsidRPr="004C214D">
        <w:rPr>
          <w:rFonts w:ascii="Arial" w:hAnsi="Arial" w:cs="Arial"/>
          <w:sz w:val="18"/>
          <w:szCs w:val="18"/>
        </w:rPr>
        <w:t>, 2002,</w:t>
      </w:r>
      <w:r>
        <w:rPr>
          <w:rFonts w:ascii="Arial" w:hAnsi="Arial" w:cs="Arial"/>
          <w:sz w:val="18"/>
          <w:szCs w:val="18"/>
        </w:rPr>
        <w:t xml:space="preserve"> 2,</w:t>
      </w:r>
      <w:r w:rsidRPr="004C214D">
        <w:rPr>
          <w:rFonts w:ascii="Arial" w:hAnsi="Arial" w:cs="Arial"/>
          <w:sz w:val="18"/>
          <w:szCs w:val="18"/>
        </w:rPr>
        <w:t xml:space="preserve"> p. 131.</w:t>
      </w:r>
    </w:p>
  </w:footnote>
  <w:footnote w:id="15">
    <w:p w:rsidR="00487FA9" w:rsidRPr="00487FA9" w:rsidRDefault="00487FA9" w:rsidP="00487FA9">
      <w:pPr>
        <w:pStyle w:val="Testonotaapidipagina"/>
        <w:spacing w:before="60" w:line="205" w:lineRule="exact"/>
        <w:ind w:firstLine="284"/>
        <w:jc w:val="both"/>
        <w:rPr>
          <w:rFonts w:ascii="Arial" w:eastAsia="Times New Roman" w:hAnsi="Arial" w:cs="Arial"/>
          <w:sz w:val="18"/>
          <w:szCs w:val="18"/>
          <w:lang w:eastAsia="it-IT"/>
        </w:rPr>
      </w:pPr>
      <w:r w:rsidRPr="00CC7351">
        <w:rPr>
          <w:rStyle w:val="Rimandonotaapidipagina"/>
          <w:rFonts w:ascii="Arial" w:eastAsia="MS Mincho" w:hAnsi="Arial"/>
          <w:snapToGrid w:val="0"/>
          <w:sz w:val="18"/>
          <w:szCs w:val="0"/>
          <w:u w:color="000000"/>
          <w:vertAlign w:val="baseline"/>
          <w:lang w:eastAsia="it-IT"/>
        </w:rPr>
        <w:footnoteRef/>
      </w:r>
      <w:r>
        <w:rPr>
          <w:rFonts w:ascii="Arial" w:eastAsia="Times New Roman" w:hAnsi="Arial" w:cs="Arial"/>
          <w:sz w:val="18"/>
          <w:szCs w:val="18"/>
          <w:lang w:eastAsia="it-IT"/>
        </w:rPr>
        <w:t xml:space="preserve"> Cons. Stato, </w:t>
      </w:r>
      <w:r w:rsidRPr="004C214D">
        <w:rPr>
          <w:rFonts w:ascii="Arial" w:eastAsia="Times New Roman" w:hAnsi="Arial" w:cs="Arial"/>
          <w:sz w:val="18"/>
          <w:szCs w:val="18"/>
          <w:lang w:eastAsia="it-IT"/>
        </w:rPr>
        <w:t xml:space="preserve">VI, </w:t>
      </w:r>
      <w:r>
        <w:rPr>
          <w:rFonts w:ascii="Arial" w:eastAsia="Times New Roman" w:hAnsi="Arial" w:cs="Arial"/>
          <w:sz w:val="18"/>
          <w:szCs w:val="18"/>
          <w:lang w:eastAsia="it-IT"/>
        </w:rPr>
        <w:t xml:space="preserve">9 giugno </w:t>
      </w:r>
      <w:r w:rsidRPr="004C214D">
        <w:rPr>
          <w:rFonts w:ascii="Arial" w:eastAsia="Times New Roman" w:hAnsi="Arial" w:cs="Arial"/>
          <w:sz w:val="18"/>
          <w:szCs w:val="18"/>
          <w:lang w:eastAsia="it-IT"/>
        </w:rPr>
        <w:t>2014, n. 2936</w:t>
      </w:r>
      <w:r w:rsidRPr="00487FA9">
        <w:rPr>
          <w:rFonts w:ascii="Arial" w:hAnsi="Arial" w:cs="Arial"/>
          <w:sz w:val="18"/>
          <w:szCs w:val="18"/>
        </w:rPr>
        <w:t xml:space="preserve"> in</w:t>
      </w:r>
      <w:r>
        <w:rPr>
          <w:rFonts w:ascii="Arial" w:hAnsi="Arial" w:cs="Arial"/>
          <w:i/>
          <w:sz w:val="18"/>
          <w:szCs w:val="18"/>
        </w:rPr>
        <w:t xml:space="preserve"> </w:t>
      </w:r>
      <w:r w:rsidRPr="00487FA9">
        <w:rPr>
          <w:rFonts w:ascii="Arial" w:hAnsi="Arial" w:cs="Arial"/>
          <w:i/>
          <w:sz w:val="18"/>
          <w:szCs w:val="18"/>
        </w:rPr>
        <w:t>www.giustizia-amministrativa.it</w:t>
      </w:r>
      <w:r w:rsidRPr="004C214D">
        <w:rPr>
          <w:rFonts w:ascii="Arial" w:eastAsia="Times New Roman" w:hAnsi="Arial" w:cs="Arial"/>
          <w:sz w:val="18"/>
          <w:szCs w:val="18"/>
          <w:lang w:eastAsia="it-IT"/>
        </w:rPr>
        <w:t>; oggetto della controversia erano le delibere con le quali l’A</w:t>
      </w:r>
      <w:r>
        <w:rPr>
          <w:rFonts w:ascii="Arial" w:eastAsia="Times New Roman" w:hAnsi="Arial" w:cs="Arial"/>
          <w:sz w:val="18"/>
          <w:szCs w:val="18"/>
          <w:lang w:eastAsia="it-IT"/>
        </w:rPr>
        <w:t>u</w:t>
      </w:r>
      <w:r w:rsidRPr="004C214D">
        <w:rPr>
          <w:rFonts w:ascii="Arial" w:eastAsia="Times New Roman" w:hAnsi="Arial" w:cs="Arial"/>
          <w:sz w:val="18"/>
          <w:szCs w:val="18"/>
          <w:lang w:eastAsia="it-IT"/>
        </w:rPr>
        <w:t>torità provvedeva a modificare la disciplina della ripartizione dei costi di sbilanciamento (ovvero il servizio reso dal Gestore di rete per garantire l’equilibrio tra energia immessa ed energia prelevata dalla rete) tra gli utenti della rete; in particolare, le delibere in questione, premettendo la finalità di sgravare la collettività del costo di sbilanciamento rendendo più responsabile il comportamento dei produttori di fonti rinnovabili, sostituiva il precedente regime di socializzazione dei costi con l’imputazione degli stessi in capo ai suddetti produttori da fonti rinnovabili. Il Consiglio di Stato considera la delibera discriminatoria nei confronti delle imprese produttrici da fonti rinnovabili, ritenute non in grado di programmare la produzione e dunque evitare i costi con comportamento virtuoso</w:t>
      </w:r>
      <w:r w:rsidRPr="004C214D">
        <w:rPr>
          <w:rFonts w:ascii="Arial" w:hAnsi="Arial" w:cs="Arial"/>
          <w:sz w:val="18"/>
          <w:szCs w:val="18"/>
        </w:rPr>
        <w:t xml:space="preserve">; </w:t>
      </w:r>
      <w:r w:rsidRPr="004C214D">
        <w:rPr>
          <w:rFonts w:ascii="Arial" w:eastAsia="Times New Roman" w:hAnsi="Arial" w:cs="Arial"/>
          <w:sz w:val="18"/>
          <w:szCs w:val="18"/>
          <w:lang w:eastAsia="it-IT"/>
        </w:rPr>
        <w:t>un’ulteriore applicazione del principio di non discriminazione in termini analoghi si ha in</w:t>
      </w:r>
      <w:r w:rsidRPr="004C214D">
        <w:rPr>
          <w:rFonts w:ascii="Arial" w:hAnsi="Arial" w:cs="Arial"/>
          <w:sz w:val="18"/>
          <w:szCs w:val="18"/>
        </w:rPr>
        <w:t xml:space="preserve"> Cons</w:t>
      </w:r>
      <w:r>
        <w:rPr>
          <w:rFonts w:ascii="Arial" w:hAnsi="Arial" w:cs="Arial"/>
          <w:sz w:val="18"/>
          <w:szCs w:val="18"/>
        </w:rPr>
        <w:t xml:space="preserve">. </w:t>
      </w:r>
      <w:r w:rsidRPr="004C214D">
        <w:rPr>
          <w:rFonts w:ascii="Arial" w:hAnsi="Arial" w:cs="Arial"/>
          <w:sz w:val="18"/>
          <w:szCs w:val="18"/>
        </w:rPr>
        <w:t xml:space="preserve">Stato, </w:t>
      </w:r>
      <w:r>
        <w:rPr>
          <w:rFonts w:ascii="Arial" w:hAnsi="Arial" w:cs="Arial"/>
          <w:sz w:val="18"/>
          <w:szCs w:val="18"/>
        </w:rPr>
        <w:t xml:space="preserve">VI, 17 giugno </w:t>
      </w:r>
      <w:r w:rsidRPr="004C214D">
        <w:rPr>
          <w:rFonts w:ascii="Arial" w:hAnsi="Arial" w:cs="Arial"/>
          <w:sz w:val="18"/>
          <w:szCs w:val="18"/>
        </w:rPr>
        <w:t>2014, n. 3051</w:t>
      </w:r>
      <w:r w:rsidRPr="00487FA9">
        <w:rPr>
          <w:rFonts w:ascii="Arial" w:hAnsi="Arial" w:cs="Arial"/>
          <w:sz w:val="18"/>
          <w:szCs w:val="18"/>
        </w:rPr>
        <w:t xml:space="preserve"> in</w:t>
      </w:r>
      <w:r>
        <w:rPr>
          <w:rFonts w:ascii="Arial" w:hAnsi="Arial" w:cs="Arial"/>
          <w:i/>
          <w:sz w:val="18"/>
          <w:szCs w:val="18"/>
        </w:rPr>
        <w:t xml:space="preserve"> </w:t>
      </w:r>
      <w:r w:rsidRPr="00487FA9">
        <w:rPr>
          <w:rFonts w:ascii="Arial" w:hAnsi="Arial" w:cs="Arial"/>
          <w:i/>
          <w:sz w:val="18"/>
          <w:szCs w:val="18"/>
        </w:rPr>
        <w:t>www.giustizia-amministrativa.it</w:t>
      </w:r>
      <w:r w:rsidRPr="004C214D">
        <w:rPr>
          <w:rFonts w:ascii="Arial" w:hAnsi="Arial" w:cs="Arial"/>
          <w:sz w:val="18"/>
          <w:szCs w:val="18"/>
        </w:rPr>
        <w:t xml:space="preserve">, che conferma le sentenze </w:t>
      </w:r>
      <w:r>
        <w:rPr>
          <w:rFonts w:ascii="Arial" w:hAnsi="Arial" w:cs="Arial"/>
          <w:sz w:val="18"/>
          <w:szCs w:val="18"/>
        </w:rPr>
        <w:t xml:space="preserve">del </w:t>
      </w:r>
      <w:r w:rsidRPr="004C214D">
        <w:rPr>
          <w:rFonts w:ascii="Arial" w:hAnsi="Arial" w:cs="Arial"/>
          <w:sz w:val="18"/>
          <w:szCs w:val="18"/>
        </w:rPr>
        <w:t>TAR Lombardia, Milano, III, nn. 2310, 2311, 2312, 2313</w:t>
      </w:r>
      <w:r w:rsidRPr="00487FA9">
        <w:rPr>
          <w:rFonts w:ascii="Arial" w:hAnsi="Arial" w:cs="Arial"/>
          <w:sz w:val="18"/>
          <w:szCs w:val="18"/>
        </w:rPr>
        <w:t xml:space="preserve"> in</w:t>
      </w:r>
      <w:r>
        <w:rPr>
          <w:rFonts w:ascii="Arial" w:hAnsi="Arial" w:cs="Arial"/>
          <w:i/>
          <w:sz w:val="18"/>
          <w:szCs w:val="18"/>
        </w:rPr>
        <w:t xml:space="preserve"> </w:t>
      </w:r>
      <w:r w:rsidRPr="00487FA9">
        <w:rPr>
          <w:rFonts w:ascii="Arial" w:hAnsi="Arial" w:cs="Arial"/>
          <w:i/>
          <w:sz w:val="18"/>
          <w:szCs w:val="18"/>
        </w:rPr>
        <w:t>www.giustizia-amministrativa.it</w:t>
      </w:r>
      <w:r w:rsidRPr="004C214D">
        <w:rPr>
          <w:rFonts w:ascii="Arial" w:hAnsi="Arial" w:cs="Arial"/>
          <w:sz w:val="18"/>
          <w:szCs w:val="18"/>
        </w:rPr>
        <w:t>.</w:t>
      </w:r>
      <w:r w:rsidRPr="004C214D">
        <w:rPr>
          <w:rFonts w:ascii="Arial" w:eastAsia="Times New Roman" w:hAnsi="Arial" w:cs="Arial"/>
          <w:sz w:val="18"/>
          <w:szCs w:val="18"/>
          <w:lang w:eastAsia="it-IT"/>
        </w:rPr>
        <w:t xml:space="preserve"> </w:t>
      </w:r>
    </w:p>
  </w:footnote>
  <w:footnote w:id="16">
    <w:p w:rsidR="00487FA9" w:rsidRPr="004C214D" w:rsidRDefault="00487FA9" w:rsidP="004C214D">
      <w:pPr>
        <w:spacing w:before="60" w:after="0" w:line="205" w:lineRule="exact"/>
        <w:ind w:firstLine="284"/>
        <w:jc w:val="both"/>
        <w:rPr>
          <w:rFonts w:ascii="Arial" w:hAnsi="Arial" w:cs="Arial"/>
          <w:sz w:val="18"/>
          <w:szCs w:val="18"/>
        </w:rPr>
      </w:pPr>
      <w:r w:rsidRPr="00CC7351">
        <w:rPr>
          <w:rStyle w:val="Rimandonotaapidipagina"/>
          <w:rFonts w:ascii="Arial" w:eastAsia="MS Mincho" w:hAnsi="Arial"/>
          <w:snapToGrid w:val="0"/>
          <w:sz w:val="18"/>
          <w:szCs w:val="0"/>
          <w:u w:color="000000"/>
          <w:vertAlign w:val="baseline"/>
          <w:lang w:eastAsia="it-IT"/>
        </w:rPr>
        <w:footnoteRef/>
      </w:r>
      <w:r w:rsidRPr="004C214D">
        <w:rPr>
          <w:rFonts w:ascii="Arial" w:hAnsi="Arial" w:cs="Arial"/>
          <w:sz w:val="18"/>
          <w:szCs w:val="18"/>
        </w:rPr>
        <w:t xml:space="preserve"> In tal senso la già citata </w:t>
      </w:r>
      <w:r>
        <w:rPr>
          <w:rFonts w:ascii="Arial" w:hAnsi="Arial" w:cs="Arial"/>
          <w:sz w:val="18"/>
          <w:szCs w:val="18"/>
        </w:rPr>
        <w:t xml:space="preserve">sentenza del </w:t>
      </w:r>
      <w:r w:rsidRPr="004C214D">
        <w:rPr>
          <w:rFonts w:ascii="Arial" w:hAnsi="Arial" w:cs="Arial"/>
          <w:sz w:val="18"/>
          <w:szCs w:val="18"/>
        </w:rPr>
        <w:t>TAR</w:t>
      </w:r>
      <w:r>
        <w:rPr>
          <w:rFonts w:ascii="Arial" w:hAnsi="Arial" w:cs="Arial"/>
          <w:sz w:val="18"/>
          <w:szCs w:val="18"/>
        </w:rPr>
        <w:t xml:space="preserve"> Lombardia,</w:t>
      </w:r>
      <w:r w:rsidRPr="004C214D">
        <w:rPr>
          <w:rFonts w:ascii="Arial" w:hAnsi="Arial" w:cs="Arial"/>
          <w:sz w:val="18"/>
          <w:szCs w:val="18"/>
        </w:rPr>
        <w:t xml:space="preserve"> Milano, III, </w:t>
      </w:r>
      <w:r>
        <w:rPr>
          <w:rFonts w:ascii="Arial" w:hAnsi="Arial" w:cs="Arial"/>
          <w:sz w:val="18"/>
          <w:szCs w:val="18"/>
        </w:rPr>
        <w:t xml:space="preserve">24 giugno 2014, </w:t>
      </w:r>
      <w:r w:rsidRPr="004C214D">
        <w:rPr>
          <w:rFonts w:ascii="Arial" w:hAnsi="Arial" w:cs="Arial"/>
          <w:sz w:val="18"/>
          <w:szCs w:val="18"/>
        </w:rPr>
        <w:t>n. 1648</w:t>
      </w:r>
      <w:r>
        <w:rPr>
          <w:rFonts w:ascii="Arial" w:hAnsi="Arial" w:cs="Arial"/>
          <w:sz w:val="18"/>
          <w:szCs w:val="18"/>
        </w:rPr>
        <w:t>.</w:t>
      </w:r>
    </w:p>
  </w:footnote>
  <w:footnote w:id="17">
    <w:p w:rsidR="00487FA9" w:rsidRPr="004C214D" w:rsidRDefault="00487FA9" w:rsidP="004C214D">
      <w:pPr>
        <w:spacing w:before="60" w:after="0" w:line="205" w:lineRule="exact"/>
        <w:ind w:firstLine="284"/>
        <w:jc w:val="both"/>
        <w:rPr>
          <w:rFonts w:ascii="Arial" w:eastAsia="Times New Roman" w:hAnsi="Arial" w:cs="Arial"/>
          <w:color w:val="000000"/>
          <w:sz w:val="18"/>
          <w:szCs w:val="18"/>
          <w:lang w:eastAsia="it-IT"/>
        </w:rPr>
      </w:pPr>
      <w:r w:rsidRPr="00CC7351">
        <w:rPr>
          <w:rStyle w:val="Rimandonotaapidipagina"/>
          <w:rFonts w:ascii="Arial" w:eastAsia="MS Mincho" w:hAnsi="Arial"/>
          <w:snapToGrid w:val="0"/>
          <w:sz w:val="18"/>
          <w:szCs w:val="0"/>
          <w:u w:color="000000"/>
          <w:vertAlign w:val="baseline"/>
          <w:lang w:eastAsia="it-IT"/>
        </w:rPr>
        <w:footnoteRef/>
      </w:r>
      <w:r w:rsidRPr="00CC7351">
        <w:rPr>
          <w:rStyle w:val="Rimandonotaapidipagina"/>
          <w:rFonts w:eastAsia="MS Mincho"/>
          <w:snapToGrid w:val="0"/>
          <w:szCs w:val="0"/>
          <w:u w:color="000000"/>
          <w:vertAlign w:val="baseline"/>
          <w:lang w:eastAsia="it-IT"/>
        </w:rPr>
        <w:t xml:space="preserve"> </w:t>
      </w:r>
      <w:r>
        <w:rPr>
          <w:rFonts w:ascii="Arial" w:hAnsi="Arial" w:cs="Arial"/>
          <w:sz w:val="18"/>
          <w:szCs w:val="18"/>
        </w:rPr>
        <w:t xml:space="preserve">Cons. </w:t>
      </w:r>
      <w:r w:rsidRPr="004C214D">
        <w:rPr>
          <w:rFonts w:ascii="Arial" w:hAnsi="Arial" w:cs="Arial"/>
          <w:sz w:val="18"/>
          <w:szCs w:val="18"/>
        </w:rPr>
        <w:t xml:space="preserve">Stato, </w:t>
      </w:r>
      <w:r>
        <w:rPr>
          <w:rFonts w:ascii="Arial" w:hAnsi="Arial" w:cs="Arial"/>
          <w:sz w:val="18"/>
          <w:szCs w:val="18"/>
        </w:rPr>
        <w:t xml:space="preserve">VI, 11 settembre </w:t>
      </w:r>
      <w:r w:rsidRPr="004C214D">
        <w:rPr>
          <w:rFonts w:ascii="Arial" w:hAnsi="Arial" w:cs="Arial"/>
          <w:sz w:val="18"/>
          <w:szCs w:val="18"/>
        </w:rPr>
        <w:t>2014, n. 4629</w:t>
      </w:r>
      <w:r w:rsidRPr="00487FA9">
        <w:rPr>
          <w:rFonts w:ascii="Arial" w:hAnsi="Arial" w:cs="Arial"/>
          <w:sz w:val="18"/>
          <w:szCs w:val="18"/>
        </w:rPr>
        <w:t xml:space="preserve"> in</w:t>
      </w:r>
      <w:r>
        <w:rPr>
          <w:rFonts w:ascii="Arial" w:hAnsi="Arial" w:cs="Arial"/>
          <w:i/>
          <w:sz w:val="18"/>
          <w:szCs w:val="18"/>
        </w:rPr>
        <w:t xml:space="preserve"> </w:t>
      </w:r>
      <w:r w:rsidRPr="00487FA9">
        <w:rPr>
          <w:rFonts w:ascii="Arial" w:hAnsi="Arial" w:cs="Arial"/>
          <w:i/>
          <w:sz w:val="18"/>
          <w:szCs w:val="18"/>
        </w:rPr>
        <w:t>www.giustizia-amministrativa.it</w:t>
      </w:r>
      <w:r w:rsidRPr="004C214D">
        <w:rPr>
          <w:rFonts w:ascii="Arial" w:hAnsi="Arial" w:cs="Arial"/>
          <w:sz w:val="18"/>
          <w:szCs w:val="18"/>
        </w:rPr>
        <w:t xml:space="preserve">; </w:t>
      </w:r>
      <w:r w:rsidRPr="004C214D">
        <w:rPr>
          <w:rFonts w:ascii="Arial" w:eastAsia="Times New Roman" w:hAnsi="Arial" w:cs="Arial"/>
          <w:color w:val="000000"/>
          <w:sz w:val="18"/>
          <w:szCs w:val="18"/>
          <w:lang w:eastAsia="it-IT"/>
        </w:rPr>
        <w:t>in tale controversia oggetto di contestazione da parte degli operatori erano le forme di garanzie previste dall’AEEGSI in relazione ai crediti vantati dal Gestore del servizio di bilanciamento nei confronti degli utenti della rete. In particolare, tra le forme di garanzia la delibera prevedeva, tra le altre, il vincolo sul gas che i venditori hanno nelle riserve di stoccaggio, che, secondo la suddetta delibera, può costituire non più del 90% del totale delle garanzie prestate dall’utente e il cui valore viene ridotto del 10%, in ragione della variazione del prezzo del gas in dipendenza dei consumi stagionali. Il TAR ritiene sproporzionata tale misura rispetto all’obiettivo e propone l’introduzione di meccanismi alternativi.</w:t>
      </w:r>
    </w:p>
  </w:footnote>
  <w:footnote w:id="18">
    <w:p w:rsidR="00487FA9" w:rsidRPr="004C214D" w:rsidRDefault="00487FA9" w:rsidP="004C214D">
      <w:pPr>
        <w:pStyle w:val="Testonotaapidipagina"/>
        <w:spacing w:before="60" w:line="205" w:lineRule="exact"/>
        <w:ind w:firstLine="284"/>
        <w:jc w:val="both"/>
        <w:rPr>
          <w:rFonts w:ascii="Arial" w:hAnsi="Arial" w:cs="Arial"/>
          <w:sz w:val="18"/>
          <w:szCs w:val="18"/>
        </w:rPr>
      </w:pPr>
      <w:r w:rsidRPr="00CC7351">
        <w:rPr>
          <w:rStyle w:val="Rimandonotaapidipagina"/>
          <w:rFonts w:ascii="Arial" w:eastAsia="MS Mincho" w:hAnsi="Arial"/>
          <w:snapToGrid w:val="0"/>
          <w:sz w:val="18"/>
          <w:szCs w:val="0"/>
          <w:u w:color="000000"/>
          <w:vertAlign w:val="baseline"/>
          <w:lang w:eastAsia="it-IT"/>
        </w:rPr>
        <w:footnoteRef/>
      </w:r>
      <w:r w:rsidRPr="004C214D">
        <w:rPr>
          <w:rFonts w:ascii="Arial" w:hAnsi="Arial" w:cs="Arial"/>
          <w:sz w:val="18"/>
          <w:szCs w:val="18"/>
        </w:rPr>
        <w:t xml:space="preserve"> Trattasi di regime speciale introdotto in seguito alla liberalizzazione della vendita dell’energia elettrica e del gas naturale nei confronti di tutti i clienti finali, nell’ambito del quale, i</w:t>
      </w:r>
      <w:r>
        <w:rPr>
          <w:rFonts w:ascii="Arial" w:hAnsi="Arial" w:cs="Arial"/>
          <w:sz w:val="18"/>
          <w:szCs w:val="18"/>
        </w:rPr>
        <w:t>n virtù dell’art. 1, comma 3, d.l. 18 giugno 2007, n. 73</w:t>
      </w:r>
      <w:r w:rsidRPr="004C214D">
        <w:rPr>
          <w:rFonts w:ascii="Arial" w:hAnsi="Arial" w:cs="Arial"/>
          <w:sz w:val="18"/>
          <w:szCs w:val="18"/>
        </w:rPr>
        <w:t>, «</w:t>
      </w:r>
      <w:r w:rsidRPr="004C214D">
        <w:rPr>
          <w:rFonts w:ascii="Arial" w:hAnsi="Arial" w:cs="Arial"/>
          <w:i/>
          <w:sz w:val="18"/>
          <w:szCs w:val="18"/>
        </w:rPr>
        <w:t>l’</w:t>
      </w:r>
      <w:r w:rsidRPr="004C214D">
        <w:rPr>
          <w:rFonts w:ascii="Arial" w:hAnsi="Arial" w:cs="Arial"/>
          <w:i/>
          <w:color w:val="000000"/>
          <w:sz w:val="18"/>
          <w:szCs w:val="18"/>
        </w:rPr>
        <w:t xml:space="preserve">Autorità per l'energia elettrica e il gas indica condizioni standard di erogazione del servizio e definisce, in base ai costi effettivi del servizio, prezzi di riferimento per le forniture di energia elettrica ai clienti di cui al comma 2 (clienti finali domestici) e per le forniture di gas naturale ai clienti domestici, che le imprese di distribuzione o di vendita sono tenute ad inserire nelle proprie offerte commerciali». </w:t>
      </w:r>
    </w:p>
  </w:footnote>
  <w:footnote w:id="19">
    <w:p w:rsidR="00487FA9" w:rsidRPr="004C214D" w:rsidRDefault="00487FA9" w:rsidP="004C214D">
      <w:pPr>
        <w:pStyle w:val="Testonotaapidipagina"/>
        <w:spacing w:before="60" w:line="205" w:lineRule="exact"/>
        <w:ind w:firstLine="284"/>
        <w:jc w:val="both"/>
        <w:rPr>
          <w:rFonts w:ascii="Arial" w:hAnsi="Arial" w:cs="Arial"/>
          <w:sz w:val="18"/>
          <w:szCs w:val="18"/>
        </w:rPr>
      </w:pPr>
      <w:r w:rsidRPr="00CC7351">
        <w:rPr>
          <w:rStyle w:val="Rimandonotaapidipagina"/>
          <w:rFonts w:ascii="Arial" w:eastAsia="MS Mincho" w:hAnsi="Arial"/>
          <w:snapToGrid w:val="0"/>
          <w:sz w:val="18"/>
          <w:szCs w:val="0"/>
          <w:u w:color="000000"/>
          <w:vertAlign w:val="baseline"/>
          <w:lang w:eastAsia="it-IT"/>
        </w:rPr>
        <w:footnoteRef/>
      </w:r>
      <w:r w:rsidRPr="004C214D">
        <w:rPr>
          <w:rFonts w:ascii="Arial" w:hAnsi="Arial" w:cs="Arial"/>
          <w:sz w:val="18"/>
          <w:szCs w:val="18"/>
        </w:rPr>
        <w:t xml:space="preserve"> Cons. Stato, </w:t>
      </w:r>
      <w:r>
        <w:rPr>
          <w:rFonts w:ascii="Arial" w:hAnsi="Arial" w:cs="Arial"/>
          <w:sz w:val="18"/>
          <w:szCs w:val="18"/>
        </w:rPr>
        <w:t xml:space="preserve">IV, 23 aprile </w:t>
      </w:r>
      <w:r w:rsidRPr="004C214D">
        <w:rPr>
          <w:rFonts w:ascii="Arial" w:hAnsi="Arial" w:cs="Arial"/>
          <w:sz w:val="18"/>
          <w:szCs w:val="18"/>
        </w:rPr>
        <w:t>2002, n. 2199</w:t>
      </w:r>
      <w:r w:rsidRPr="00487FA9">
        <w:rPr>
          <w:rFonts w:ascii="Arial" w:hAnsi="Arial" w:cs="Arial"/>
          <w:sz w:val="18"/>
          <w:szCs w:val="18"/>
        </w:rPr>
        <w:t xml:space="preserve"> in</w:t>
      </w:r>
      <w:r>
        <w:rPr>
          <w:rFonts w:ascii="Arial" w:hAnsi="Arial" w:cs="Arial"/>
          <w:i/>
          <w:sz w:val="18"/>
          <w:szCs w:val="18"/>
        </w:rPr>
        <w:t xml:space="preserve"> </w:t>
      </w:r>
      <w:r w:rsidRPr="00487FA9">
        <w:rPr>
          <w:rFonts w:ascii="Arial" w:hAnsi="Arial" w:cs="Arial"/>
          <w:i/>
          <w:sz w:val="18"/>
          <w:szCs w:val="18"/>
        </w:rPr>
        <w:t>www.giustizia-amministrativa.it</w:t>
      </w:r>
      <w:r w:rsidRPr="004C214D">
        <w:rPr>
          <w:rFonts w:ascii="Arial" w:hAnsi="Arial" w:cs="Arial"/>
          <w:sz w:val="18"/>
          <w:szCs w:val="18"/>
        </w:rPr>
        <w:t>; più in generale il Supremo Consesso ha precisato che in realtà con l’espressione “sindacato debole“ il G.A. «</w:t>
      </w:r>
      <w:r w:rsidRPr="004C214D">
        <w:rPr>
          <w:rFonts w:ascii="Arial" w:hAnsi="Arial" w:cs="Arial"/>
          <w:i/>
          <w:sz w:val="18"/>
          <w:szCs w:val="18"/>
        </w:rPr>
        <w:t>non abbia inteso limitare il proprio potere di piena cognizione sui fatti oggetto di indagine e sul processo valutativo, mediante il quale l’Autorità applica alla fattispecie concreta la regola individuata. Con tale espressione si è inteso solo porre un limite finale alla statuizione del giudice, il quale, dopo aver accertato in modo pieno i fatti ed aver verificato il processo valutativo svolto dall’Autorità in base a regole tecniche, anche esse sindacate, se ritiene le valutazioni dell’Autorità corrette, ragionevoli, proporzionate ed attendibili, non deve spingersi oltre fino ad esprimere proprie autonome scelte, perché altrimenti assumerebbe egli la titolarità del potere</w:t>
      </w:r>
      <w:r w:rsidRPr="004C214D">
        <w:rPr>
          <w:rFonts w:ascii="Arial" w:hAnsi="Arial" w:cs="Arial"/>
          <w:sz w:val="18"/>
          <w:szCs w:val="18"/>
        </w:rPr>
        <w:t>»</w:t>
      </w:r>
      <w:r w:rsidRPr="004C214D">
        <w:rPr>
          <w:rFonts w:ascii="Arial" w:hAnsi="Arial" w:cs="Arial"/>
          <w:i/>
          <w:sz w:val="18"/>
          <w:szCs w:val="18"/>
        </w:rPr>
        <w:t>.</w:t>
      </w:r>
    </w:p>
  </w:footnote>
  <w:footnote w:id="20">
    <w:p w:rsidR="00487FA9" w:rsidRPr="004C214D" w:rsidRDefault="00487FA9" w:rsidP="00D33B89">
      <w:pPr>
        <w:pStyle w:val="Testonotaapidipagina"/>
        <w:spacing w:before="60" w:line="205" w:lineRule="exact"/>
        <w:ind w:firstLine="284"/>
        <w:jc w:val="both"/>
        <w:rPr>
          <w:rFonts w:ascii="Arial" w:hAnsi="Arial" w:cs="Arial"/>
          <w:sz w:val="18"/>
          <w:szCs w:val="18"/>
        </w:rPr>
      </w:pPr>
      <w:r w:rsidRPr="00CC7351">
        <w:rPr>
          <w:rStyle w:val="Rimandonotaapidipagina"/>
          <w:rFonts w:ascii="Arial" w:eastAsia="MS Mincho" w:hAnsi="Arial"/>
          <w:snapToGrid w:val="0"/>
          <w:sz w:val="18"/>
          <w:szCs w:val="0"/>
          <w:u w:color="000000"/>
          <w:vertAlign w:val="baseline"/>
          <w:lang w:eastAsia="it-IT"/>
        </w:rPr>
        <w:footnoteRef/>
      </w:r>
      <w:r w:rsidRPr="00CC7351">
        <w:rPr>
          <w:rStyle w:val="Rimandonotaapidipagina"/>
          <w:rFonts w:eastAsia="MS Mincho"/>
          <w:snapToGrid w:val="0"/>
          <w:szCs w:val="0"/>
          <w:u w:color="000000"/>
          <w:vertAlign w:val="baseline"/>
          <w:lang w:eastAsia="it-IT"/>
        </w:rPr>
        <w:t xml:space="preserve"> </w:t>
      </w:r>
      <w:r w:rsidRPr="004C214D">
        <w:rPr>
          <w:rFonts w:ascii="Arial" w:hAnsi="Arial" w:cs="Arial"/>
          <w:sz w:val="18"/>
          <w:szCs w:val="18"/>
        </w:rPr>
        <w:t>Nelle sentenze prese in considerazione sono invero mutamenti di fatti storici che inducono l’Autorità ad intervenire nel mercato.</w:t>
      </w:r>
    </w:p>
  </w:footnote>
  <w:footnote w:id="21">
    <w:p w:rsidR="00487FA9" w:rsidRPr="004C214D" w:rsidRDefault="00487FA9" w:rsidP="00D33B89">
      <w:pPr>
        <w:pStyle w:val="Testonotaapidipagina"/>
        <w:spacing w:before="60" w:line="205" w:lineRule="exact"/>
        <w:ind w:firstLine="284"/>
        <w:jc w:val="both"/>
        <w:rPr>
          <w:rFonts w:ascii="Arial" w:hAnsi="Arial" w:cs="Arial"/>
          <w:sz w:val="18"/>
          <w:szCs w:val="18"/>
        </w:rPr>
      </w:pPr>
      <w:r w:rsidRPr="00CC7351">
        <w:rPr>
          <w:rStyle w:val="Rimandonotaapidipagina"/>
          <w:rFonts w:ascii="Arial" w:eastAsia="MS Mincho" w:hAnsi="Arial"/>
          <w:snapToGrid w:val="0"/>
          <w:sz w:val="18"/>
          <w:szCs w:val="0"/>
          <w:u w:color="000000"/>
          <w:vertAlign w:val="baseline"/>
          <w:lang w:eastAsia="it-IT"/>
        </w:rPr>
        <w:footnoteRef/>
      </w:r>
      <w:r w:rsidRPr="00CC7351">
        <w:rPr>
          <w:rStyle w:val="Rimandonotaapidipagina"/>
          <w:rFonts w:eastAsia="MS Mincho"/>
          <w:snapToGrid w:val="0"/>
          <w:szCs w:val="0"/>
          <w:u w:color="000000"/>
          <w:vertAlign w:val="baseline"/>
          <w:lang w:eastAsia="it-IT"/>
        </w:rPr>
        <w:t xml:space="preserve"> </w:t>
      </w:r>
      <w:r w:rsidRPr="004C214D">
        <w:rPr>
          <w:rFonts w:ascii="Arial" w:hAnsi="Arial" w:cs="Arial"/>
          <w:sz w:val="18"/>
          <w:szCs w:val="18"/>
        </w:rPr>
        <w:t xml:space="preserve">F. </w:t>
      </w:r>
      <w:r w:rsidRPr="00D33B89">
        <w:rPr>
          <w:rFonts w:ascii="Arial" w:hAnsi="Arial" w:cs="Arial"/>
          <w:smallCaps/>
          <w:sz w:val="18"/>
          <w:szCs w:val="18"/>
        </w:rPr>
        <w:t>Cintioli</w:t>
      </w:r>
      <w:r w:rsidRPr="004C214D">
        <w:rPr>
          <w:rFonts w:ascii="Arial" w:hAnsi="Arial" w:cs="Arial"/>
          <w:sz w:val="18"/>
          <w:szCs w:val="18"/>
        </w:rPr>
        <w:t xml:space="preserve">, </w:t>
      </w:r>
      <w:r w:rsidRPr="00D33B89">
        <w:rPr>
          <w:rFonts w:ascii="Arial" w:hAnsi="Arial" w:cs="Arial"/>
          <w:i/>
          <w:sz w:val="18"/>
          <w:szCs w:val="18"/>
        </w:rPr>
        <w:t>Tecnica e processo amministrativo</w:t>
      </w:r>
      <w:r w:rsidRPr="004C214D">
        <w:rPr>
          <w:rFonts w:ascii="Arial" w:hAnsi="Arial" w:cs="Arial"/>
          <w:sz w:val="18"/>
          <w:szCs w:val="18"/>
        </w:rPr>
        <w:t xml:space="preserve">, in </w:t>
      </w:r>
      <w:r w:rsidRPr="00D33B89">
        <w:rPr>
          <w:rFonts w:ascii="Arial" w:hAnsi="Arial" w:cs="Arial"/>
          <w:i/>
          <w:sz w:val="18"/>
          <w:szCs w:val="18"/>
        </w:rPr>
        <w:t>Dir</w:t>
      </w:r>
      <w:r>
        <w:rPr>
          <w:rFonts w:ascii="Arial" w:hAnsi="Arial" w:cs="Arial"/>
          <w:i/>
          <w:sz w:val="18"/>
          <w:szCs w:val="18"/>
        </w:rPr>
        <w:t>.</w:t>
      </w:r>
      <w:r w:rsidRPr="00D33B89">
        <w:rPr>
          <w:rFonts w:ascii="Arial" w:hAnsi="Arial" w:cs="Arial"/>
          <w:i/>
          <w:sz w:val="18"/>
          <w:szCs w:val="18"/>
        </w:rPr>
        <w:t xml:space="preserve"> proc</w:t>
      </w:r>
      <w:r>
        <w:rPr>
          <w:rFonts w:ascii="Arial" w:hAnsi="Arial" w:cs="Arial"/>
          <w:i/>
          <w:sz w:val="18"/>
          <w:szCs w:val="18"/>
        </w:rPr>
        <w:t>.</w:t>
      </w:r>
      <w:r w:rsidRPr="00D33B89">
        <w:rPr>
          <w:rFonts w:ascii="Arial" w:hAnsi="Arial" w:cs="Arial"/>
          <w:i/>
          <w:sz w:val="18"/>
          <w:szCs w:val="18"/>
        </w:rPr>
        <w:t xml:space="preserve"> </w:t>
      </w:r>
      <w:r>
        <w:rPr>
          <w:rFonts w:ascii="Arial" w:hAnsi="Arial" w:cs="Arial"/>
          <w:i/>
          <w:sz w:val="18"/>
          <w:szCs w:val="18"/>
        </w:rPr>
        <w:t>a</w:t>
      </w:r>
      <w:r w:rsidRPr="00D33B89">
        <w:rPr>
          <w:rFonts w:ascii="Arial" w:hAnsi="Arial" w:cs="Arial"/>
          <w:i/>
          <w:sz w:val="18"/>
          <w:szCs w:val="18"/>
        </w:rPr>
        <w:t>mm</w:t>
      </w:r>
      <w:r>
        <w:rPr>
          <w:rFonts w:ascii="Arial" w:hAnsi="Arial" w:cs="Arial"/>
          <w:i/>
          <w:sz w:val="18"/>
          <w:szCs w:val="18"/>
        </w:rPr>
        <w:t>.</w:t>
      </w:r>
      <w:r>
        <w:rPr>
          <w:rFonts w:ascii="Arial" w:hAnsi="Arial" w:cs="Arial"/>
          <w:sz w:val="18"/>
          <w:szCs w:val="18"/>
        </w:rPr>
        <w:t>, 2004, p</w:t>
      </w:r>
      <w:r w:rsidRPr="004C214D">
        <w:rPr>
          <w:rFonts w:ascii="Arial" w:hAnsi="Arial" w:cs="Arial"/>
          <w:sz w:val="18"/>
          <w:szCs w:val="18"/>
        </w:rPr>
        <w:t>. 985.</w:t>
      </w:r>
    </w:p>
  </w:footnote>
  <w:footnote w:id="22">
    <w:p w:rsidR="00487FA9" w:rsidRPr="004C214D" w:rsidRDefault="00487FA9" w:rsidP="004C214D">
      <w:pPr>
        <w:pStyle w:val="Testonotaapidipagina"/>
        <w:spacing w:before="60" w:line="205" w:lineRule="exact"/>
        <w:ind w:firstLine="284"/>
        <w:jc w:val="both"/>
        <w:rPr>
          <w:rFonts w:ascii="Arial" w:hAnsi="Arial" w:cs="Arial"/>
          <w:sz w:val="18"/>
          <w:szCs w:val="18"/>
        </w:rPr>
      </w:pPr>
      <w:r w:rsidRPr="00CC7351">
        <w:rPr>
          <w:rStyle w:val="Rimandonotaapidipagina"/>
          <w:rFonts w:ascii="Arial" w:eastAsia="MS Mincho" w:hAnsi="Arial"/>
          <w:snapToGrid w:val="0"/>
          <w:sz w:val="18"/>
          <w:szCs w:val="0"/>
          <w:u w:color="000000"/>
          <w:vertAlign w:val="baseline"/>
          <w:lang w:eastAsia="it-IT"/>
        </w:rPr>
        <w:footnoteRef/>
      </w:r>
      <w:r w:rsidRPr="00CC7351">
        <w:rPr>
          <w:rStyle w:val="Rimandonotaapidipagina"/>
          <w:rFonts w:eastAsia="MS Mincho"/>
          <w:snapToGrid w:val="0"/>
          <w:szCs w:val="0"/>
          <w:u w:color="000000"/>
          <w:vertAlign w:val="baseline"/>
          <w:lang w:eastAsia="it-IT"/>
        </w:rPr>
        <w:t xml:space="preserve"> </w:t>
      </w:r>
      <w:r>
        <w:rPr>
          <w:rFonts w:ascii="Arial" w:eastAsia="Times New Roman" w:hAnsi="Arial" w:cs="Arial"/>
          <w:sz w:val="18"/>
          <w:szCs w:val="18"/>
        </w:rPr>
        <w:t>Cons.</w:t>
      </w:r>
      <w:r w:rsidRPr="004C214D">
        <w:rPr>
          <w:rFonts w:ascii="Arial" w:eastAsia="Times New Roman" w:hAnsi="Arial" w:cs="Arial"/>
          <w:sz w:val="18"/>
          <w:szCs w:val="18"/>
        </w:rPr>
        <w:t xml:space="preserve"> Stato, VI, 27 dicembre 2006, n. 7972</w:t>
      </w:r>
      <w:r w:rsidRPr="00487FA9">
        <w:rPr>
          <w:rFonts w:ascii="Arial" w:hAnsi="Arial" w:cs="Arial"/>
          <w:sz w:val="18"/>
          <w:szCs w:val="18"/>
        </w:rPr>
        <w:t xml:space="preserve"> in</w:t>
      </w:r>
      <w:r>
        <w:rPr>
          <w:rFonts w:ascii="Arial" w:hAnsi="Arial" w:cs="Arial"/>
          <w:i/>
          <w:sz w:val="18"/>
          <w:szCs w:val="18"/>
        </w:rPr>
        <w:t xml:space="preserve"> </w:t>
      </w:r>
      <w:r w:rsidRPr="00487FA9">
        <w:rPr>
          <w:rFonts w:ascii="Arial" w:hAnsi="Arial" w:cs="Arial"/>
          <w:i/>
          <w:sz w:val="18"/>
          <w:szCs w:val="18"/>
        </w:rPr>
        <w:t>www.giustizia-amministrativa.it</w:t>
      </w:r>
      <w:r w:rsidRPr="004C214D">
        <w:rPr>
          <w:rFonts w:ascii="Arial" w:eastAsia="Times New Roman" w:hAnsi="Arial" w:cs="Arial"/>
          <w:sz w:val="18"/>
          <w:szCs w:val="18"/>
        </w:rPr>
        <w:t>.</w:t>
      </w:r>
    </w:p>
  </w:footnote>
  <w:footnote w:id="23">
    <w:p w:rsidR="00487FA9" w:rsidRPr="004C214D" w:rsidRDefault="00487FA9" w:rsidP="004C214D">
      <w:pPr>
        <w:pStyle w:val="Testonotaapidipagina"/>
        <w:spacing w:before="60" w:line="205" w:lineRule="exact"/>
        <w:ind w:firstLine="284"/>
        <w:jc w:val="both"/>
        <w:rPr>
          <w:rFonts w:ascii="Arial" w:hAnsi="Arial" w:cs="Arial"/>
          <w:sz w:val="18"/>
          <w:szCs w:val="18"/>
        </w:rPr>
      </w:pPr>
      <w:r w:rsidRPr="00CC7351">
        <w:rPr>
          <w:rStyle w:val="Rimandonotaapidipagina"/>
          <w:rFonts w:ascii="Arial" w:eastAsia="MS Mincho" w:hAnsi="Arial"/>
          <w:snapToGrid w:val="0"/>
          <w:sz w:val="18"/>
          <w:szCs w:val="0"/>
          <w:u w:color="000000"/>
          <w:vertAlign w:val="baseline"/>
          <w:lang w:eastAsia="it-IT"/>
        </w:rPr>
        <w:footnoteRef/>
      </w:r>
      <w:r>
        <w:rPr>
          <w:rFonts w:ascii="Arial" w:hAnsi="Arial" w:cs="Arial"/>
          <w:sz w:val="18"/>
          <w:szCs w:val="18"/>
        </w:rPr>
        <w:t xml:space="preserve"> Cfr. la già citata sentenza del TAR Lombardia, Milano,</w:t>
      </w:r>
      <w:r w:rsidRPr="004C214D">
        <w:rPr>
          <w:rFonts w:ascii="Arial" w:hAnsi="Arial" w:cs="Arial"/>
          <w:sz w:val="18"/>
          <w:szCs w:val="18"/>
        </w:rPr>
        <w:t xml:space="preserve"> III, </w:t>
      </w:r>
      <w:r>
        <w:rPr>
          <w:rFonts w:ascii="Arial" w:hAnsi="Arial" w:cs="Arial"/>
          <w:sz w:val="18"/>
          <w:szCs w:val="18"/>
        </w:rPr>
        <w:t xml:space="preserve">24 gennaio </w:t>
      </w:r>
      <w:r w:rsidRPr="004C214D">
        <w:rPr>
          <w:rFonts w:ascii="Arial" w:hAnsi="Arial" w:cs="Arial"/>
          <w:sz w:val="18"/>
          <w:szCs w:val="18"/>
        </w:rPr>
        <w:t>2014,</w:t>
      </w:r>
      <w:r>
        <w:rPr>
          <w:rFonts w:ascii="Arial" w:hAnsi="Arial" w:cs="Arial"/>
          <w:sz w:val="18"/>
          <w:szCs w:val="18"/>
        </w:rPr>
        <w:t xml:space="preserve"> n. 265,</w:t>
      </w:r>
      <w:r w:rsidRPr="004C214D">
        <w:rPr>
          <w:rFonts w:ascii="Arial" w:hAnsi="Arial" w:cs="Arial"/>
          <w:sz w:val="18"/>
          <w:szCs w:val="18"/>
        </w:rPr>
        <w:t xml:space="preserve"> «</w:t>
      </w:r>
      <w:r w:rsidRPr="004C214D">
        <w:rPr>
          <w:rFonts w:ascii="Arial" w:eastAsia="Times New Roman" w:hAnsi="Arial" w:cs="Arial"/>
          <w:i/>
          <w:color w:val="000000"/>
          <w:sz w:val="18"/>
          <w:szCs w:val="18"/>
          <w:lang w:eastAsia="it-IT"/>
        </w:rPr>
        <w:t>l’attribuzione di poteri normativi alle autorità indipendenti deve ormai ritenersi compatibile con il nostro sistema ordinamentale, ma è necessario che le Autorità prevedano idonee garanzie partecipative e si dotino di sistemi di consultazione preventiva, volti a raccogliere il contributo informativo e valutativo dei soggetti vigilati</w:t>
      </w:r>
      <w:r w:rsidRPr="004C214D">
        <w:rPr>
          <w:rFonts w:ascii="Arial" w:eastAsia="Times New Roman" w:hAnsi="Arial" w:cs="Arial"/>
          <w:color w:val="000000"/>
          <w:sz w:val="18"/>
          <w:szCs w:val="18"/>
          <w:lang w:eastAsia="it-IT"/>
        </w:rPr>
        <w:t xml:space="preserve">». </w:t>
      </w:r>
    </w:p>
  </w:footnote>
  <w:footnote w:id="24">
    <w:p w:rsidR="00487FA9" w:rsidRPr="004C214D" w:rsidRDefault="00487FA9" w:rsidP="004C214D">
      <w:pPr>
        <w:pStyle w:val="Testonotaapidipagina"/>
        <w:spacing w:before="60" w:line="205" w:lineRule="exact"/>
        <w:ind w:firstLine="284"/>
        <w:jc w:val="both"/>
        <w:rPr>
          <w:rFonts w:ascii="Arial" w:hAnsi="Arial" w:cs="Arial"/>
          <w:sz w:val="18"/>
          <w:szCs w:val="18"/>
        </w:rPr>
      </w:pPr>
      <w:r w:rsidRPr="00CC7351">
        <w:rPr>
          <w:rStyle w:val="Rimandonotaapidipagina"/>
          <w:rFonts w:ascii="Arial" w:eastAsia="MS Mincho" w:hAnsi="Arial"/>
          <w:snapToGrid w:val="0"/>
          <w:sz w:val="18"/>
          <w:szCs w:val="0"/>
          <w:u w:color="000000"/>
          <w:vertAlign w:val="baseline"/>
          <w:lang w:eastAsia="it-IT"/>
        </w:rPr>
        <w:footnoteRef/>
      </w:r>
      <w:r w:rsidRPr="004C214D">
        <w:rPr>
          <w:rFonts w:ascii="Arial" w:hAnsi="Arial" w:cs="Arial"/>
          <w:sz w:val="18"/>
          <w:szCs w:val="18"/>
        </w:rPr>
        <w:t xml:space="preserve"> La necessità della consultazione è del resto condizione di efficacia della strategia elaborata dallo stesso regolatore, </w:t>
      </w:r>
      <w:r w:rsidRPr="006940B9">
        <w:rPr>
          <w:rFonts w:ascii="Arial" w:hAnsi="Arial" w:cs="Arial"/>
          <w:smallCaps/>
          <w:sz w:val="18"/>
          <w:szCs w:val="18"/>
        </w:rPr>
        <w:t>M.Ramajoli</w:t>
      </w:r>
      <w:r w:rsidRPr="004C214D">
        <w:rPr>
          <w:rFonts w:ascii="Arial" w:hAnsi="Arial" w:cs="Arial"/>
          <w:sz w:val="18"/>
          <w:szCs w:val="18"/>
        </w:rPr>
        <w:t xml:space="preserve">, </w:t>
      </w:r>
      <w:r w:rsidRPr="006940B9">
        <w:rPr>
          <w:rFonts w:ascii="Arial" w:hAnsi="Arial" w:cs="Arial"/>
          <w:i/>
          <w:sz w:val="18"/>
          <w:szCs w:val="18"/>
        </w:rPr>
        <w:t>Procedimento regolatorio e partecipazione</w:t>
      </w:r>
      <w:r>
        <w:rPr>
          <w:rFonts w:ascii="Arial" w:hAnsi="Arial" w:cs="Arial"/>
          <w:i/>
          <w:sz w:val="18"/>
          <w:szCs w:val="18"/>
        </w:rPr>
        <w:t>,</w:t>
      </w:r>
      <w:r w:rsidRPr="004C214D">
        <w:rPr>
          <w:rFonts w:ascii="Arial" w:hAnsi="Arial" w:cs="Arial"/>
          <w:sz w:val="18"/>
          <w:szCs w:val="18"/>
        </w:rPr>
        <w:t xml:space="preserve"> in  </w:t>
      </w:r>
      <w:r w:rsidRPr="006940B9">
        <w:rPr>
          <w:rFonts w:ascii="Arial" w:hAnsi="Arial" w:cs="Arial"/>
          <w:smallCaps/>
          <w:sz w:val="18"/>
          <w:szCs w:val="18"/>
        </w:rPr>
        <w:t>E. Bruti Liberati-F. Donati</w:t>
      </w:r>
      <w:r>
        <w:rPr>
          <w:rFonts w:ascii="Arial" w:hAnsi="Arial" w:cs="Arial"/>
          <w:sz w:val="18"/>
          <w:szCs w:val="18"/>
        </w:rPr>
        <w:t xml:space="preserve"> (a cura di)</w:t>
      </w:r>
      <w:r w:rsidRPr="004C214D">
        <w:rPr>
          <w:rFonts w:ascii="Arial" w:hAnsi="Arial" w:cs="Arial"/>
          <w:sz w:val="18"/>
          <w:szCs w:val="18"/>
        </w:rPr>
        <w:t xml:space="preserve">, </w:t>
      </w:r>
      <w:r w:rsidRPr="006940B9">
        <w:rPr>
          <w:rFonts w:ascii="Arial" w:hAnsi="Arial" w:cs="Arial"/>
          <w:i/>
          <w:sz w:val="18"/>
          <w:szCs w:val="18"/>
        </w:rPr>
        <w:t>La regolazione dei servizi di interesse economico generale</w:t>
      </w:r>
      <w:r w:rsidRPr="004C214D">
        <w:rPr>
          <w:rFonts w:ascii="Arial" w:hAnsi="Arial" w:cs="Arial"/>
          <w:sz w:val="18"/>
          <w:szCs w:val="18"/>
        </w:rPr>
        <w:t>,</w:t>
      </w:r>
      <w:r>
        <w:rPr>
          <w:rFonts w:ascii="Arial" w:hAnsi="Arial" w:cs="Arial"/>
          <w:sz w:val="18"/>
          <w:szCs w:val="18"/>
        </w:rPr>
        <w:t xml:space="preserve"> Giappichelli,</w:t>
      </w:r>
      <w:r w:rsidRPr="004C214D">
        <w:rPr>
          <w:rFonts w:ascii="Arial" w:hAnsi="Arial" w:cs="Arial"/>
          <w:sz w:val="18"/>
          <w:szCs w:val="18"/>
        </w:rPr>
        <w:t xml:space="preserve"> Torino, 2010, p</w:t>
      </w:r>
      <w:r>
        <w:rPr>
          <w:rFonts w:ascii="Arial" w:hAnsi="Arial" w:cs="Arial"/>
          <w:sz w:val="18"/>
          <w:szCs w:val="18"/>
        </w:rPr>
        <w:t>.</w:t>
      </w:r>
      <w:r w:rsidRPr="004C214D">
        <w:rPr>
          <w:rFonts w:ascii="Arial" w:hAnsi="Arial" w:cs="Arial"/>
          <w:sz w:val="18"/>
          <w:szCs w:val="18"/>
        </w:rPr>
        <w:t xml:space="preserve"> 216.</w:t>
      </w:r>
    </w:p>
  </w:footnote>
  <w:footnote w:id="25">
    <w:p w:rsidR="00487FA9" w:rsidRPr="004C214D" w:rsidRDefault="00487FA9" w:rsidP="004C214D">
      <w:pPr>
        <w:pStyle w:val="Testonotaapidipagina"/>
        <w:spacing w:before="60" w:line="205" w:lineRule="exact"/>
        <w:ind w:firstLine="284"/>
        <w:jc w:val="both"/>
        <w:rPr>
          <w:rFonts w:ascii="Arial" w:hAnsi="Arial" w:cs="Arial"/>
          <w:sz w:val="18"/>
          <w:szCs w:val="18"/>
        </w:rPr>
      </w:pPr>
      <w:r w:rsidRPr="00CC7351">
        <w:rPr>
          <w:rStyle w:val="Rimandonotaapidipagina"/>
          <w:rFonts w:ascii="Arial" w:eastAsia="MS Mincho" w:hAnsi="Arial"/>
          <w:snapToGrid w:val="0"/>
          <w:sz w:val="18"/>
          <w:szCs w:val="0"/>
          <w:u w:color="000000"/>
          <w:vertAlign w:val="baseline"/>
          <w:lang w:eastAsia="it-IT"/>
        </w:rPr>
        <w:footnoteRef/>
      </w:r>
      <w:r w:rsidRPr="004C214D">
        <w:rPr>
          <w:rFonts w:ascii="Arial" w:hAnsi="Arial" w:cs="Arial"/>
          <w:sz w:val="18"/>
          <w:szCs w:val="18"/>
        </w:rPr>
        <w:t xml:space="preserve"> Cfr. </w:t>
      </w:r>
      <w:r>
        <w:rPr>
          <w:rFonts w:ascii="Arial" w:hAnsi="Arial" w:cs="Arial"/>
          <w:sz w:val="18"/>
          <w:szCs w:val="18"/>
        </w:rPr>
        <w:t xml:space="preserve">la già citata sentenza del </w:t>
      </w:r>
      <w:r w:rsidRPr="004C214D">
        <w:rPr>
          <w:rFonts w:ascii="Arial" w:hAnsi="Arial" w:cs="Arial"/>
          <w:sz w:val="18"/>
          <w:szCs w:val="18"/>
        </w:rPr>
        <w:t>TAR</w:t>
      </w:r>
      <w:r>
        <w:rPr>
          <w:rFonts w:ascii="Arial" w:hAnsi="Arial" w:cs="Arial"/>
          <w:sz w:val="18"/>
          <w:szCs w:val="18"/>
        </w:rPr>
        <w:t xml:space="preserve"> Lombardia,</w:t>
      </w:r>
      <w:r w:rsidRPr="004C214D">
        <w:rPr>
          <w:rFonts w:ascii="Arial" w:hAnsi="Arial" w:cs="Arial"/>
          <w:sz w:val="18"/>
          <w:szCs w:val="18"/>
        </w:rPr>
        <w:t xml:space="preserve"> Milano, </w:t>
      </w:r>
      <w:r>
        <w:rPr>
          <w:rFonts w:ascii="Arial" w:hAnsi="Arial" w:cs="Arial"/>
          <w:sz w:val="18"/>
          <w:szCs w:val="18"/>
        </w:rPr>
        <w:t>III, 24 gennaio 2014, n. 265</w:t>
      </w:r>
      <w:r w:rsidRPr="004C214D">
        <w:rPr>
          <w:rFonts w:ascii="Arial" w:hAnsi="Arial" w:cs="Arial"/>
          <w:sz w:val="18"/>
          <w:szCs w:val="18"/>
        </w:rPr>
        <w:t>, «</w:t>
      </w:r>
      <w:r w:rsidRPr="004C214D">
        <w:rPr>
          <w:rFonts w:ascii="Arial" w:eastAsia="Times New Roman" w:hAnsi="Arial" w:cs="Arial"/>
          <w:i/>
          <w:color w:val="000000"/>
          <w:sz w:val="18"/>
          <w:szCs w:val="18"/>
          <w:lang w:eastAsia="it-IT"/>
        </w:rPr>
        <w:t>l’effettuazione della consultazione avrebbe consentito alla parte ricorrente di poter evidenziare le proprie ragioni, inducendo l’Autorità a non assumere alcuna determinazione, oppure ad adottarne con contenuti diversi, determinando conseguenze di impatto meno rilevante nei confronti della medesima ricorrente</w:t>
      </w:r>
      <w:r w:rsidRPr="004C214D">
        <w:rPr>
          <w:rFonts w:ascii="Arial" w:eastAsia="Times New Roman" w:hAnsi="Arial" w:cs="Arial"/>
          <w:color w:val="000000"/>
          <w:sz w:val="18"/>
          <w:szCs w:val="18"/>
          <w:lang w:eastAsia="it-IT"/>
        </w:rPr>
        <w:t>».</w:t>
      </w:r>
    </w:p>
  </w:footnote>
  <w:footnote w:id="26">
    <w:p w:rsidR="00487FA9" w:rsidRPr="004C214D" w:rsidRDefault="00487FA9" w:rsidP="004C214D">
      <w:pPr>
        <w:pStyle w:val="Testonotaapidipagina"/>
        <w:spacing w:before="60" w:line="205" w:lineRule="exact"/>
        <w:ind w:firstLine="284"/>
        <w:jc w:val="both"/>
        <w:rPr>
          <w:rFonts w:ascii="Arial" w:hAnsi="Arial" w:cs="Arial"/>
          <w:sz w:val="18"/>
          <w:szCs w:val="18"/>
        </w:rPr>
      </w:pPr>
      <w:r w:rsidRPr="00CC7351">
        <w:rPr>
          <w:rStyle w:val="Rimandonotaapidipagina"/>
          <w:rFonts w:ascii="Arial" w:eastAsia="MS Mincho" w:hAnsi="Arial"/>
          <w:snapToGrid w:val="0"/>
          <w:sz w:val="18"/>
          <w:szCs w:val="0"/>
          <w:u w:color="000000"/>
          <w:vertAlign w:val="baseline"/>
          <w:lang w:eastAsia="it-IT"/>
        </w:rPr>
        <w:footnoteRef/>
      </w:r>
      <w:r w:rsidRPr="004C214D">
        <w:rPr>
          <w:rFonts w:ascii="Arial" w:hAnsi="Arial" w:cs="Arial"/>
          <w:sz w:val="18"/>
          <w:szCs w:val="18"/>
        </w:rPr>
        <w:t xml:space="preserve"> Cfr. </w:t>
      </w:r>
      <w:r>
        <w:rPr>
          <w:rFonts w:ascii="Arial" w:hAnsi="Arial" w:cs="Arial"/>
          <w:sz w:val="18"/>
          <w:szCs w:val="18"/>
        </w:rPr>
        <w:t xml:space="preserve">la già citata sentenza del </w:t>
      </w:r>
      <w:r w:rsidRPr="004C214D">
        <w:rPr>
          <w:rFonts w:ascii="Arial" w:hAnsi="Arial" w:cs="Arial"/>
          <w:sz w:val="18"/>
          <w:szCs w:val="18"/>
        </w:rPr>
        <w:t>TAR</w:t>
      </w:r>
      <w:r>
        <w:rPr>
          <w:rFonts w:ascii="Arial" w:hAnsi="Arial" w:cs="Arial"/>
          <w:sz w:val="18"/>
          <w:szCs w:val="18"/>
        </w:rPr>
        <w:t xml:space="preserve"> Lombardia,</w:t>
      </w:r>
      <w:r w:rsidRPr="004C214D">
        <w:rPr>
          <w:rFonts w:ascii="Arial" w:hAnsi="Arial" w:cs="Arial"/>
          <w:sz w:val="18"/>
          <w:szCs w:val="18"/>
        </w:rPr>
        <w:t xml:space="preserve"> Milano, </w:t>
      </w:r>
      <w:r>
        <w:rPr>
          <w:rFonts w:ascii="Arial" w:hAnsi="Arial" w:cs="Arial"/>
          <w:sz w:val="18"/>
          <w:szCs w:val="18"/>
        </w:rPr>
        <w:t>III, 11 settembre 2014, n. 2347</w:t>
      </w:r>
      <w:r w:rsidRPr="004C214D">
        <w:rPr>
          <w:rFonts w:ascii="Arial" w:hAnsi="Arial" w:cs="Arial"/>
          <w:sz w:val="18"/>
          <w:szCs w:val="18"/>
        </w:rPr>
        <w:t>, in cui il TAR rileva l’illegittimità dell’inserimento di un parametro tecnico ulteriore rispetto a quello già previsto normativamente in relazione alla qualifica di un impianto di cogenerazione ad alto rendimento.</w:t>
      </w:r>
    </w:p>
  </w:footnote>
  <w:footnote w:id="27">
    <w:p w:rsidR="00487FA9" w:rsidRPr="004C214D" w:rsidRDefault="00487FA9" w:rsidP="004C214D">
      <w:pPr>
        <w:pStyle w:val="Testonotaapidipagina"/>
        <w:spacing w:before="60" w:line="205" w:lineRule="exact"/>
        <w:ind w:firstLine="284"/>
        <w:jc w:val="both"/>
        <w:rPr>
          <w:rFonts w:ascii="Arial" w:hAnsi="Arial" w:cs="Arial"/>
          <w:sz w:val="18"/>
          <w:szCs w:val="18"/>
        </w:rPr>
      </w:pPr>
      <w:r w:rsidRPr="002307B0">
        <w:rPr>
          <w:rStyle w:val="Rimandonotaapidipagina"/>
          <w:rFonts w:ascii="Arial" w:eastAsia="MS Mincho" w:hAnsi="Arial" w:cs="Arial"/>
          <w:snapToGrid w:val="0"/>
          <w:sz w:val="18"/>
          <w:szCs w:val="0"/>
          <w:u w:color="000000"/>
          <w:vertAlign w:val="baseline"/>
          <w:lang w:eastAsia="it-IT"/>
        </w:rPr>
        <w:footnoteRef/>
      </w:r>
      <w:r w:rsidRPr="002307B0">
        <w:rPr>
          <w:rStyle w:val="Rimandonotaapidipagina"/>
          <w:rFonts w:ascii="Arial" w:eastAsia="MS Mincho" w:hAnsi="Arial" w:cs="Arial"/>
          <w:snapToGrid w:val="0"/>
          <w:sz w:val="18"/>
          <w:szCs w:val="18"/>
          <w:u w:color="000000"/>
          <w:vertAlign w:val="baseline"/>
          <w:lang w:eastAsia="it-IT"/>
        </w:rPr>
        <w:t xml:space="preserve"> </w:t>
      </w:r>
      <w:r w:rsidRPr="002307B0">
        <w:rPr>
          <w:rFonts w:ascii="Arial" w:hAnsi="Arial" w:cs="Arial"/>
          <w:sz w:val="18"/>
          <w:szCs w:val="18"/>
        </w:rPr>
        <w:t>Cfr</w:t>
      </w:r>
      <w:r w:rsidRPr="004C214D">
        <w:rPr>
          <w:rFonts w:ascii="Arial" w:hAnsi="Arial" w:cs="Arial"/>
          <w:sz w:val="18"/>
          <w:szCs w:val="18"/>
        </w:rPr>
        <w:t xml:space="preserve">. </w:t>
      </w:r>
      <w:r>
        <w:rPr>
          <w:rFonts w:ascii="Arial" w:hAnsi="Arial" w:cs="Arial"/>
          <w:sz w:val="18"/>
          <w:szCs w:val="18"/>
        </w:rPr>
        <w:t xml:space="preserve">la già citata sentenza del </w:t>
      </w:r>
      <w:r w:rsidRPr="004C214D">
        <w:rPr>
          <w:rFonts w:ascii="Arial" w:hAnsi="Arial" w:cs="Arial"/>
          <w:sz w:val="18"/>
          <w:szCs w:val="18"/>
        </w:rPr>
        <w:t>TAR</w:t>
      </w:r>
      <w:r>
        <w:rPr>
          <w:rFonts w:ascii="Arial" w:hAnsi="Arial" w:cs="Arial"/>
          <w:sz w:val="18"/>
          <w:szCs w:val="18"/>
        </w:rPr>
        <w:t xml:space="preserve"> Lombardia,</w:t>
      </w:r>
      <w:r w:rsidRPr="004C214D">
        <w:rPr>
          <w:rFonts w:ascii="Arial" w:hAnsi="Arial" w:cs="Arial"/>
          <w:sz w:val="18"/>
          <w:szCs w:val="18"/>
        </w:rPr>
        <w:t xml:space="preserve"> Milano, </w:t>
      </w:r>
      <w:r>
        <w:rPr>
          <w:rFonts w:ascii="Arial" w:hAnsi="Arial" w:cs="Arial"/>
          <w:sz w:val="18"/>
          <w:szCs w:val="18"/>
        </w:rPr>
        <w:t>III, 17 giugno 2014, n. 1587</w:t>
      </w:r>
      <w:r w:rsidRPr="004C214D">
        <w:rPr>
          <w:rFonts w:ascii="Arial" w:hAnsi="Arial" w:cs="Arial"/>
          <w:sz w:val="18"/>
          <w:szCs w:val="18"/>
        </w:rPr>
        <w:t>, in cui la delibera avente ad oggetto la definizione di una componente tariffaria (relativa ai costi di bilanciamento) viene annullata per difetto di istruttoria in merito a fatti rilevanti per la determinazione dell’</w:t>
      </w:r>
      <w:r w:rsidRPr="004C214D">
        <w:rPr>
          <w:rFonts w:ascii="Arial" w:hAnsi="Arial" w:cs="Arial"/>
          <w:i/>
          <w:sz w:val="18"/>
          <w:szCs w:val="18"/>
        </w:rPr>
        <w:t>an</w:t>
      </w:r>
      <w:r w:rsidRPr="004C214D">
        <w:rPr>
          <w:rFonts w:ascii="Arial" w:hAnsi="Arial" w:cs="Arial"/>
          <w:sz w:val="18"/>
          <w:szCs w:val="18"/>
        </w:rPr>
        <w:t xml:space="preserve"> e del </w:t>
      </w:r>
      <w:r w:rsidRPr="004C214D">
        <w:rPr>
          <w:rFonts w:ascii="Arial" w:hAnsi="Arial" w:cs="Arial"/>
          <w:i/>
          <w:sz w:val="18"/>
          <w:szCs w:val="18"/>
        </w:rPr>
        <w:t>quantum</w:t>
      </w:r>
      <w:r w:rsidRPr="004C214D">
        <w:rPr>
          <w:rFonts w:ascii="Arial" w:hAnsi="Arial" w:cs="Arial"/>
          <w:sz w:val="18"/>
          <w:szCs w:val="18"/>
        </w:rPr>
        <w:t xml:space="preserve"> della componente medesima. Decisione quindi che non elimina lo spazio di manovra dell’AEEGSI e dunque la necessità di un confronto con gli operatori.</w:t>
      </w:r>
    </w:p>
  </w:footnote>
  <w:footnote w:id="28">
    <w:p w:rsidR="00487FA9" w:rsidRPr="004C214D" w:rsidRDefault="00487FA9" w:rsidP="007E0EF7">
      <w:pPr>
        <w:pStyle w:val="Testonotaapidipagina"/>
        <w:keepLines/>
        <w:spacing w:before="60" w:line="205" w:lineRule="exact"/>
        <w:ind w:firstLine="284"/>
        <w:jc w:val="both"/>
        <w:rPr>
          <w:rFonts w:ascii="Arial" w:hAnsi="Arial" w:cs="Arial"/>
          <w:sz w:val="18"/>
          <w:szCs w:val="18"/>
        </w:rPr>
      </w:pPr>
      <w:r w:rsidRPr="00CC7351">
        <w:rPr>
          <w:rStyle w:val="Rimandonotaapidipagina"/>
          <w:rFonts w:ascii="Arial" w:eastAsia="MS Mincho" w:hAnsi="Arial"/>
          <w:snapToGrid w:val="0"/>
          <w:sz w:val="18"/>
          <w:szCs w:val="0"/>
          <w:u w:color="000000"/>
          <w:vertAlign w:val="baseline"/>
          <w:lang w:eastAsia="it-IT"/>
        </w:rPr>
        <w:footnoteRef/>
      </w:r>
      <w:r w:rsidRPr="004C214D">
        <w:rPr>
          <w:rFonts w:ascii="Arial" w:hAnsi="Arial" w:cs="Arial"/>
          <w:sz w:val="18"/>
          <w:szCs w:val="18"/>
        </w:rPr>
        <w:t xml:space="preserve"> TAR Lombardia, Milano, III, 23</w:t>
      </w:r>
      <w:r>
        <w:rPr>
          <w:rFonts w:ascii="Arial" w:hAnsi="Arial" w:cs="Arial"/>
          <w:sz w:val="18"/>
          <w:szCs w:val="18"/>
        </w:rPr>
        <w:t xml:space="preserve"> settembre </w:t>
      </w:r>
      <w:r w:rsidRPr="004C214D">
        <w:rPr>
          <w:rFonts w:ascii="Arial" w:hAnsi="Arial" w:cs="Arial"/>
          <w:sz w:val="18"/>
          <w:szCs w:val="18"/>
        </w:rPr>
        <w:t>2014, n. 2366</w:t>
      </w:r>
      <w:r w:rsidRPr="00487FA9">
        <w:rPr>
          <w:rFonts w:ascii="Arial" w:hAnsi="Arial" w:cs="Arial"/>
          <w:sz w:val="18"/>
          <w:szCs w:val="18"/>
        </w:rPr>
        <w:t xml:space="preserve"> in</w:t>
      </w:r>
      <w:r w:rsidRPr="007E0EF7">
        <w:rPr>
          <w:rFonts w:ascii="Arial" w:hAnsi="Arial" w:cs="Arial"/>
          <w:sz w:val="18"/>
          <w:szCs w:val="18"/>
        </w:rPr>
        <w:t xml:space="preserve"> </w:t>
      </w:r>
      <w:r w:rsidRPr="007E0EF7">
        <w:rPr>
          <w:rFonts w:ascii="Arial" w:hAnsi="Arial" w:cs="Arial"/>
          <w:i/>
          <w:sz w:val="18"/>
          <w:szCs w:val="18"/>
        </w:rPr>
        <w:t>www.giustizia-amministrativa.it</w:t>
      </w:r>
      <w:r w:rsidRPr="004C214D">
        <w:rPr>
          <w:rFonts w:ascii="Arial" w:hAnsi="Arial" w:cs="Arial"/>
          <w:sz w:val="18"/>
          <w:szCs w:val="18"/>
        </w:rPr>
        <w:t>.</w:t>
      </w:r>
    </w:p>
  </w:footnote>
  <w:footnote w:id="29">
    <w:p w:rsidR="00487FA9" w:rsidRPr="004C214D" w:rsidRDefault="00487FA9" w:rsidP="00487FA9">
      <w:pPr>
        <w:pStyle w:val="Testonotaapidipagina"/>
        <w:spacing w:before="60" w:line="205" w:lineRule="exact"/>
        <w:ind w:firstLine="284"/>
        <w:jc w:val="both"/>
        <w:rPr>
          <w:rFonts w:ascii="Arial" w:hAnsi="Arial" w:cs="Arial"/>
          <w:sz w:val="18"/>
          <w:szCs w:val="18"/>
        </w:rPr>
      </w:pPr>
      <w:r w:rsidRPr="002307B0">
        <w:rPr>
          <w:rFonts w:ascii="Arial" w:hAnsi="Arial" w:cs="Arial"/>
          <w:sz w:val="18"/>
          <w:szCs w:val="18"/>
        </w:rPr>
        <w:footnoteRef/>
      </w:r>
      <w:r w:rsidRPr="004C214D">
        <w:rPr>
          <w:rFonts w:ascii="Arial" w:hAnsi="Arial" w:cs="Arial"/>
          <w:sz w:val="18"/>
          <w:szCs w:val="18"/>
        </w:rPr>
        <w:t xml:space="preserve"> TAR Lombardia, Milano, III, 29</w:t>
      </w:r>
      <w:r>
        <w:rPr>
          <w:rFonts w:ascii="Arial" w:hAnsi="Arial" w:cs="Arial"/>
          <w:sz w:val="18"/>
          <w:szCs w:val="18"/>
        </w:rPr>
        <w:t xml:space="preserve"> dicembre </w:t>
      </w:r>
      <w:r w:rsidRPr="004C214D">
        <w:rPr>
          <w:rFonts w:ascii="Arial" w:hAnsi="Arial" w:cs="Arial"/>
          <w:sz w:val="18"/>
          <w:szCs w:val="18"/>
        </w:rPr>
        <w:t>2014, n. 3215</w:t>
      </w:r>
      <w:r w:rsidRPr="00487FA9">
        <w:rPr>
          <w:rFonts w:ascii="Arial" w:hAnsi="Arial" w:cs="Arial"/>
          <w:sz w:val="18"/>
          <w:szCs w:val="18"/>
        </w:rPr>
        <w:t xml:space="preserve"> in</w:t>
      </w:r>
      <w:r w:rsidRPr="007E0EF7">
        <w:rPr>
          <w:rFonts w:ascii="Arial" w:hAnsi="Arial" w:cs="Arial"/>
          <w:sz w:val="18"/>
          <w:szCs w:val="18"/>
        </w:rPr>
        <w:t xml:space="preserve"> </w:t>
      </w:r>
      <w:r w:rsidRPr="007E0EF7">
        <w:rPr>
          <w:rFonts w:ascii="Arial" w:hAnsi="Arial" w:cs="Arial"/>
          <w:i/>
          <w:sz w:val="18"/>
          <w:szCs w:val="18"/>
        </w:rPr>
        <w:t>www.giustizia-amministrativa.it</w:t>
      </w:r>
      <w:r w:rsidRPr="004C214D">
        <w:rPr>
          <w:rFonts w:ascii="Arial" w:hAnsi="Arial" w:cs="Arial"/>
          <w:sz w:val="18"/>
          <w:szCs w:val="18"/>
        </w:rPr>
        <w:t>.</w:t>
      </w:r>
    </w:p>
  </w:footnote>
  <w:footnote w:id="30">
    <w:p w:rsidR="00487FA9" w:rsidRPr="004C214D" w:rsidRDefault="00487FA9" w:rsidP="004C214D">
      <w:pPr>
        <w:pStyle w:val="Testonotaapidipagina"/>
        <w:spacing w:before="60" w:line="205" w:lineRule="exact"/>
        <w:ind w:firstLine="284"/>
        <w:jc w:val="both"/>
        <w:rPr>
          <w:rFonts w:ascii="Arial" w:hAnsi="Arial" w:cs="Arial"/>
          <w:sz w:val="18"/>
          <w:szCs w:val="18"/>
        </w:rPr>
      </w:pPr>
      <w:r w:rsidRPr="00CC7351">
        <w:rPr>
          <w:rStyle w:val="Rimandonotaapidipagina"/>
          <w:rFonts w:ascii="Arial" w:eastAsia="MS Mincho" w:hAnsi="Arial"/>
          <w:snapToGrid w:val="0"/>
          <w:sz w:val="18"/>
          <w:szCs w:val="0"/>
          <w:u w:color="000000"/>
          <w:vertAlign w:val="baseline"/>
          <w:lang w:eastAsia="it-IT"/>
        </w:rPr>
        <w:footnoteRef/>
      </w:r>
      <w:r w:rsidRPr="004C214D">
        <w:rPr>
          <w:rFonts w:ascii="Arial" w:hAnsi="Arial" w:cs="Arial"/>
          <w:sz w:val="18"/>
          <w:szCs w:val="18"/>
        </w:rPr>
        <w:t xml:space="preserve"> Secondo il quale</w:t>
      </w:r>
      <w:r>
        <w:rPr>
          <w:rFonts w:ascii="Arial" w:hAnsi="Arial" w:cs="Arial"/>
          <w:sz w:val="18"/>
          <w:szCs w:val="18"/>
        </w:rPr>
        <w:t>,</w:t>
      </w:r>
      <w:r w:rsidRPr="004C214D">
        <w:rPr>
          <w:rFonts w:ascii="Arial" w:hAnsi="Arial" w:cs="Arial"/>
          <w:sz w:val="18"/>
          <w:szCs w:val="18"/>
        </w:rPr>
        <w:t xml:space="preserve"> per lo svolgimento delle proprie funzioni</w:t>
      </w:r>
      <w:r>
        <w:rPr>
          <w:rFonts w:ascii="Arial" w:hAnsi="Arial" w:cs="Arial"/>
          <w:sz w:val="18"/>
          <w:szCs w:val="18"/>
        </w:rPr>
        <w:t>,</w:t>
      </w:r>
      <w:r w:rsidRPr="004C214D">
        <w:rPr>
          <w:rFonts w:ascii="Arial" w:hAnsi="Arial" w:cs="Arial"/>
          <w:sz w:val="18"/>
          <w:szCs w:val="18"/>
        </w:rPr>
        <w:t xml:space="preserve"> l’Autorità «</w:t>
      </w:r>
      <w:r w:rsidRPr="004C214D">
        <w:rPr>
          <w:rFonts w:ascii="Arial" w:hAnsi="Arial" w:cs="Arial"/>
          <w:i/>
          <w:sz w:val="18"/>
          <w:szCs w:val="18"/>
        </w:rPr>
        <w:t>ordina al soggetto esercente il servizio la cessazione di comportamenti lesivi dei diritti degli utenti, imponendo ai sensi del comma 12, lett. g), l’obbligo</w:t>
      </w:r>
      <w:r>
        <w:rPr>
          <w:rFonts w:ascii="Arial" w:hAnsi="Arial" w:cs="Arial"/>
          <w:i/>
          <w:sz w:val="18"/>
          <w:szCs w:val="18"/>
        </w:rPr>
        <w:t xml:space="preserve"> di corrispondere un indennizzo</w:t>
      </w:r>
      <w:r w:rsidRPr="004C214D">
        <w:rPr>
          <w:rFonts w:ascii="Arial" w:eastAsia="Times New Roman" w:hAnsi="Arial" w:cs="Arial"/>
          <w:sz w:val="18"/>
          <w:szCs w:val="18"/>
          <w:lang w:eastAsia="it-IT"/>
        </w:rPr>
        <w:t>»</w:t>
      </w:r>
      <w:r w:rsidRPr="004C214D">
        <w:rPr>
          <w:rFonts w:ascii="Arial" w:hAnsi="Arial" w:cs="Arial"/>
          <w:i/>
          <w:sz w:val="18"/>
          <w:szCs w:val="18"/>
        </w:rPr>
        <w:t>.</w:t>
      </w:r>
    </w:p>
  </w:footnote>
  <w:footnote w:id="31">
    <w:p w:rsidR="00487FA9" w:rsidRPr="004C214D" w:rsidRDefault="00487FA9" w:rsidP="004C214D">
      <w:pPr>
        <w:pStyle w:val="Testonotaapidipagina"/>
        <w:spacing w:before="60" w:line="205" w:lineRule="exact"/>
        <w:ind w:firstLine="284"/>
        <w:jc w:val="both"/>
        <w:rPr>
          <w:rFonts w:ascii="Arial" w:hAnsi="Arial" w:cs="Arial"/>
          <w:sz w:val="18"/>
          <w:szCs w:val="18"/>
        </w:rPr>
      </w:pPr>
      <w:r w:rsidRPr="00CC7351">
        <w:rPr>
          <w:rStyle w:val="Rimandonotaapidipagina"/>
          <w:rFonts w:ascii="Arial" w:eastAsia="MS Mincho" w:hAnsi="Arial"/>
          <w:snapToGrid w:val="0"/>
          <w:sz w:val="18"/>
          <w:szCs w:val="0"/>
          <w:u w:color="000000"/>
          <w:vertAlign w:val="baseline"/>
          <w:lang w:eastAsia="it-IT"/>
        </w:rPr>
        <w:footnoteRef/>
      </w:r>
      <w:r w:rsidRPr="00CC7351">
        <w:rPr>
          <w:rStyle w:val="Rimandonotaapidipagina"/>
          <w:rFonts w:eastAsia="MS Mincho"/>
          <w:snapToGrid w:val="0"/>
          <w:szCs w:val="0"/>
          <w:u w:color="000000"/>
          <w:vertAlign w:val="baseline"/>
          <w:lang w:eastAsia="it-IT"/>
        </w:rPr>
        <w:t xml:space="preserve"> </w:t>
      </w:r>
      <w:r w:rsidRPr="004C214D">
        <w:rPr>
          <w:rFonts w:ascii="Arial" w:hAnsi="Arial" w:cs="Arial"/>
          <w:sz w:val="18"/>
          <w:szCs w:val="18"/>
        </w:rPr>
        <w:t xml:space="preserve">Cfr. </w:t>
      </w:r>
      <w:r>
        <w:rPr>
          <w:rFonts w:ascii="Arial" w:hAnsi="Arial" w:cs="Arial"/>
          <w:sz w:val="18"/>
          <w:szCs w:val="18"/>
        </w:rPr>
        <w:t>la già citata sentenza</w:t>
      </w:r>
      <w:r w:rsidRPr="004C214D">
        <w:rPr>
          <w:rFonts w:ascii="Arial" w:hAnsi="Arial" w:cs="Arial"/>
          <w:sz w:val="18"/>
          <w:szCs w:val="18"/>
        </w:rPr>
        <w:t xml:space="preserve"> </w:t>
      </w:r>
      <w:r>
        <w:rPr>
          <w:rFonts w:ascii="Arial" w:hAnsi="Arial" w:cs="Arial"/>
          <w:sz w:val="18"/>
          <w:szCs w:val="18"/>
        </w:rPr>
        <w:t xml:space="preserve">del </w:t>
      </w:r>
      <w:r w:rsidRPr="004C214D">
        <w:rPr>
          <w:rFonts w:ascii="Arial" w:hAnsi="Arial" w:cs="Arial"/>
          <w:sz w:val="18"/>
          <w:szCs w:val="18"/>
        </w:rPr>
        <w:t xml:space="preserve">Consiglio di Stato, </w:t>
      </w:r>
      <w:r>
        <w:rPr>
          <w:rFonts w:ascii="Arial" w:hAnsi="Arial" w:cs="Arial"/>
          <w:sz w:val="18"/>
          <w:szCs w:val="18"/>
        </w:rPr>
        <w:t>VI, 17 giugno 2014, n. 3051;</w:t>
      </w:r>
      <w:r w:rsidRPr="004C214D">
        <w:rPr>
          <w:rFonts w:ascii="Arial" w:hAnsi="Arial" w:cs="Arial"/>
          <w:sz w:val="18"/>
          <w:szCs w:val="18"/>
        </w:rPr>
        <w:t xml:space="preserve"> ciò significa che non risulta sufficiente, come nel caso </w:t>
      </w:r>
      <w:r w:rsidRPr="004C214D">
        <w:rPr>
          <w:rFonts w:ascii="Arial" w:hAnsi="Arial" w:cs="Arial"/>
          <w:i/>
          <w:sz w:val="18"/>
          <w:szCs w:val="18"/>
        </w:rPr>
        <w:t>de quo</w:t>
      </w:r>
      <w:r w:rsidRPr="004C214D">
        <w:rPr>
          <w:rFonts w:ascii="Arial" w:hAnsi="Arial" w:cs="Arial"/>
          <w:sz w:val="18"/>
          <w:szCs w:val="18"/>
        </w:rPr>
        <w:t>, che il criterio sia comunque illustrato e discusso in sede di consultazione, ma risulta necessario che il medesimo sia preventivamente descritto nel documento di consultazione cosicché gli operatori possano studiare preventivamente eventuali varianti e proposte di modifica.</w:t>
      </w:r>
    </w:p>
  </w:footnote>
  <w:footnote w:id="32">
    <w:p w:rsidR="00487FA9" w:rsidRPr="004C214D" w:rsidRDefault="00487FA9" w:rsidP="004C2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05" w:lineRule="exact"/>
        <w:ind w:firstLine="284"/>
        <w:jc w:val="both"/>
        <w:rPr>
          <w:rFonts w:ascii="Arial" w:eastAsia="Times New Roman" w:hAnsi="Arial" w:cs="Arial"/>
          <w:sz w:val="18"/>
          <w:szCs w:val="18"/>
          <w:lang w:eastAsia="it-IT"/>
        </w:rPr>
      </w:pPr>
      <w:r w:rsidRPr="00CC7351">
        <w:rPr>
          <w:rStyle w:val="Rimandonotaapidipagina"/>
          <w:rFonts w:ascii="Arial" w:eastAsia="MS Mincho" w:hAnsi="Arial"/>
          <w:snapToGrid w:val="0"/>
          <w:sz w:val="18"/>
          <w:szCs w:val="0"/>
          <w:u w:color="000000"/>
          <w:vertAlign w:val="baseline"/>
          <w:lang w:eastAsia="it-IT"/>
        </w:rPr>
        <w:footnoteRef/>
      </w:r>
      <w:r w:rsidRPr="004C214D">
        <w:rPr>
          <w:rFonts w:ascii="Arial" w:hAnsi="Arial" w:cs="Arial"/>
          <w:sz w:val="18"/>
          <w:szCs w:val="18"/>
        </w:rPr>
        <w:t xml:space="preserve"> In base all’art. 2, comma 20, lett. c)</w:t>
      </w:r>
      <w:r>
        <w:rPr>
          <w:rFonts w:ascii="Arial" w:hAnsi="Arial" w:cs="Arial"/>
          <w:sz w:val="18"/>
          <w:szCs w:val="18"/>
        </w:rPr>
        <w:t>,</w:t>
      </w:r>
      <w:r w:rsidRPr="004C214D">
        <w:rPr>
          <w:rFonts w:ascii="Arial" w:hAnsi="Arial" w:cs="Arial"/>
          <w:sz w:val="18"/>
          <w:szCs w:val="18"/>
        </w:rPr>
        <w:t xml:space="preserve"> della </w:t>
      </w:r>
      <w:r>
        <w:rPr>
          <w:rFonts w:ascii="Arial" w:hAnsi="Arial" w:cs="Arial"/>
          <w:sz w:val="18"/>
          <w:szCs w:val="18"/>
        </w:rPr>
        <w:t>l</w:t>
      </w:r>
      <w:r w:rsidRPr="004C214D">
        <w:rPr>
          <w:rFonts w:ascii="Arial" w:hAnsi="Arial" w:cs="Arial"/>
          <w:sz w:val="18"/>
          <w:szCs w:val="18"/>
        </w:rPr>
        <w:t>.</w:t>
      </w:r>
      <w:r>
        <w:rPr>
          <w:rFonts w:ascii="Arial" w:hAnsi="Arial" w:cs="Arial"/>
          <w:sz w:val="18"/>
          <w:szCs w:val="18"/>
        </w:rPr>
        <w:t xml:space="preserve"> n.</w:t>
      </w:r>
      <w:r w:rsidRPr="004C214D">
        <w:rPr>
          <w:rFonts w:ascii="Arial" w:hAnsi="Arial" w:cs="Arial"/>
          <w:sz w:val="18"/>
          <w:szCs w:val="18"/>
        </w:rPr>
        <w:t xml:space="preserve"> 481/1995 «</w:t>
      </w:r>
      <w:r w:rsidRPr="004C214D">
        <w:rPr>
          <w:rFonts w:ascii="Arial" w:hAnsi="Arial" w:cs="Arial"/>
          <w:i/>
          <w:sz w:val="18"/>
          <w:szCs w:val="18"/>
        </w:rPr>
        <w:t xml:space="preserve">per lo svolgimento delle proprie funzioni, ciascuna Autorita': (…) </w:t>
      </w:r>
      <w:r w:rsidRPr="004C214D">
        <w:rPr>
          <w:rFonts w:ascii="Arial" w:eastAsia="Times New Roman" w:hAnsi="Arial" w:cs="Arial"/>
          <w:i/>
          <w:sz w:val="18"/>
          <w:szCs w:val="18"/>
          <w:lang w:eastAsia="it-IT"/>
        </w:rPr>
        <w:t>irroga, salvo che il fatto costituisca reato, in caso di inosservanza dei propri provvedimenti o in caso di mancata ottemperanza da parte dei soggetti esercenti il servizio, alle richieste di informazioni o a quelle connesse all'effettuazione dei controlli, ovvero nel caso in cui le informazioni e i documenti acquisiti non siano veritieri, sanzioni amministrative pecuniarie non inferiori nel minimo a euro 2.500 e non superiori nel massimo a lire 300 miliardi</w:t>
      </w:r>
      <w:r w:rsidRPr="004C214D">
        <w:rPr>
          <w:rFonts w:ascii="Arial" w:eastAsia="Times New Roman" w:hAnsi="Arial" w:cs="Arial"/>
          <w:sz w:val="18"/>
          <w:szCs w:val="18"/>
          <w:lang w:eastAsia="it-IT"/>
        </w:rPr>
        <w:t>».</w:t>
      </w:r>
    </w:p>
  </w:footnote>
  <w:footnote w:id="33">
    <w:p w:rsidR="00487FA9" w:rsidRPr="004C214D" w:rsidRDefault="00487FA9" w:rsidP="004C214D">
      <w:pPr>
        <w:pStyle w:val="Testonotaapidipagina"/>
        <w:spacing w:before="60" w:line="205" w:lineRule="exact"/>
        <w:ind w:firstLine="284"/>
        <w:jc w:val="both"/>
        <w:rPr>
          <w:rFonts w:ascii="Arial" w:hAnsi="Arial" w:cs="Arial"/>
          <w:sz w:val="18"/>
          <w:szCs w:val="18"/>
        </w:rPr>
      </w:pPr>
      <w:r w:rsidRPr="00CC7351">
        <w:rPr>
          <w:rStyle w:val="Rimandonotaapidipagina"/>
          <w:rFonts w:ascii="Arial" w:eastAsia="MS Mincho" w:hAnsi="Arial"/>
          <w:snapToGrid w:val="0"/>
          <w:sz w:val="18"/>
          <w:szCs w:val="0"/>
          <w:u w:color="000000"/>
          <w:vertAlign w:val="baseline"/>
          <w:lang w:eastAsia="it-IT"/>
        </w:rPr>
        <w:footnoteRef/>
      </w:r>
      <w:r w:rsidRPr="004C214D">
        <w:rPr>
          <w:rFonts w:ascii="Arial" w:hAnsi="Arial" w:cs="Arial"/>
          <w:sz w:val="18"/>
          <w:szCs w:val="18"/>
        </w:rPr>
        <w:t xml:space="preserve"> Cons</w:t>
      </w:r>
      <w:r>
        <w:rPr>
          <w:rFonts w:ascii="Arial" w:hAnsi="Arial" w:cs="Arial"/>
          <w:sz w:val="18"/>
          <w:szCs w:val="18"/>
        </w:rPr>
        <w:t xml:space="preserve">. </w:t>
      </w:r>
      <w:r w:rsidRPr="004C214D">
        <w:rPr>
          <w:rFonts w:ascii="Arial" w:hAnsi="Arial" w:cs="Arial"/>
          <w:sz w:val="18"/>
          <w:szCs w:val="18"/>
        </w:rPr>
        <w:t xml:space="preserve">Stato, </w:t>
      </w:r>
      <w:r>
        <w:rPr>
          <w:rFonts w:ascii="Arial" w:hAnsi="Arial" w:cs="Arial"/>
          <w:sz w:val="18"/>
          <w:szCs w:val="18"/>
        </w:rPr>
        <w:t xml:space="preserve">VI, 22 luglio </w:t>
      </w:r>
      <w:r w:rsidRPr="004C214D">
        <w:rPr>
          <w:rFonts w:ascii="Arial" w:hAnsi="Arial" w:cs="Arial"/>
          <w:sz w:val="18"/>
          <w:szCs w:val="18"/>
        </w:rPr>
        <w:t>2014, n. 3893</w:t>
      </w:r>
      <w:r w:rsidRPr="00487FA9">
        <w:rPr>
          <w:rFonts w:ascii="Arial" w:hAnsi="Arial" w:cs="Arial"/>
          <w:sz w:val="18"/>
          <w:szCs w:val="18"/>
        </w:rPr>
        <w:t xml:space="preserve"> in</w:t>
      </w:r>
      <w:r>
        <w:rPr>
          <w:rFonts w:ascii="Arial" w:hAnsi="Arial" w:cs="Arial"/>
          <w:i/>
          <w:sz w:val="18"/>
          <w:szCs w:val="18"/>
        </w:rPr>
        <w:t xml:space="preserve"> </w:t>
      </w:r>
      <w:r w:rsidRPr="00487FA9">
        <w:rPr>
          <w:rFonts w:ascii="Arial" w:hAnsi="Arial" w:cs="Arial"/>
          <w:i/>
          <w:sz w:val="18"/>
          <w:szCs w:val="18"/>
        </w:rPr>
        <w:t>www.giustizia-amministrativa.it</w:t>
      </w:r>
      <w:r w:rsidRPr="004C214D">
        <w:rPr>
          <w:rFonts w:ascii="Arial" w:hAnsi="Arial" w:cs="Arial"/>
          <w:sz w:val="18"/>
          <w:szCs w:val="18"/>
        </w:rPr>
        <w:t>; negli stessi termini Cons</w:t>
      </w:r>
      <w:r>
        <w:rPr>
          <w:rFonts w:ascii="Arial" w:hAnsi="Arial" w:cs="Arial"/>
          <w:sz w:val="18"/>
          <w:szCs w:val="18"/>
        </w:rPr>
        <w:t xml:space="preserve">. </w:t>
      </w:r>
      <w:r w:rsidRPr="004C214D">
        <w:rPr>
          <w:rFonts w:ascii="Arial" w:hAnsi="Arial" w:cs="Arial"/>
          <w:sz w:val="18"/>
          <w:szCs w:val="18"/>
        </w:rPr>
        <w:t xml:space="preserve">Stato, </w:t>
      </w:r>
      <w:r>
        <w:rPr>
          <w:rFonts w:ascii="Arial" w:hAnsi="Arial" w:cs="Arial"/>
          <w:sz w:val="18"/>
          <w:szCs w:val="18"/>
        </w:rPr>
        <w:t xml:space="preserve">VI, 22 luglio </w:t>
      </w:r>
      <w:r w:rsidRPr="004C214D">
        <w:rPr>
          <w:rFonts w:ascii="Arial" w:hAnsi="Arial" w:cs="Arial"/>
          <w:sz w:val="18"/>
          <w:szCs w:val="18"/>
        </w:rPr>
        <w:t>2014, n. 3894</w:t>
      </w:r>
      <w:r w:rsidRPr="00487FA9">
        <w:rPr>
          <w:rFonts w:ascii="Arial" w:hAnsi="Arial" w:cs="Arial"/>
          <w:sz w:val="18"/>
          <w:szCs w:val="18"/>
        </w:rPr>
        <w:t xml:space="preserve"> in</w:t>
      </w:r>
      <w:r>
        <w:rPr>
          <w:rFonts w:ascii="Arial" w:hAnsi="Arial" w:cs="Arial"/>
          <w:i/>
          <w:sz w:val="18"/>
          <w:szCs w:val="18"/>
        </w:rPr>
        <w:t xml:space="preserve"> </w:t>
      </w:r>
      <w:r w:rsidRPr="00487FA9">
        <w:rPr>
          <w:rFonts w:ascii="Arial" w:hAnsi="Arial" w:cs="Arial"/>
          <w:i/>
          <w:sz w:val="18"/>
          <w:szCs w:val="18"/>
        </w:rPr>
        <w:t>www.giustizia-amministrativa.it</w:t>
      </w:r>
      <w:r w:rsidRPr="004C214D">
        <w:rPr>
          <w:rFonts w:ascii="Arial" w:hAnsi="Arial" w:cs="Arial"/>
          <w:sz w:val="18"/>
          <w:szCs w:val="18"/>
        </w:rPr>
        <w:t>.</w:t>
      </w:r>
    </w:p>
  </w:footnote>
  <w:footnote w:id="34">
    <w:p w:rsidR="00487FA9" w:rsidRPr="004C214D" w:rsidRDefault="00487FA9" w:rsidP="004C214D">
      <w:pPr>
        <w:pStyle w:val="Testonotaapidipagina"/>
        <w:spacing w:before="60" w:line="205" w:lineRule="exact"/>
        <w:ind w:firstLine="284"/>
        <w:jc w:val="both"/>
        <w:rPr>
          <w:rFonts w:ascii="Arial" w:hAnsi="Arial" w:cs="Arial"/>
          <w:sz w:val="18"/>
          <w:szCs w:val="18"/>
        </w:rPr>
      </w:pPr>
      <w:r w:rsidRPr="00CC7351">
        <w:rPr>
          <w:rStyle w:val="Rimandonotaapidipagina"/>
          <w:rFonts w:ascii="Arial" w:eastAsia="MS Mincho" w:hAnsi="Arial"/>
          <w:snapToGrid w:val="0"/>
          <w:sz w:val="18"/>
          <w:szCs w:val="0"/>
          <w:u w:color="000000"/>
          <w:vertAlign w:val="baseline"/>
          <w:lang w:eastAsia="it-IT"/>
        </w:rPr>
        <w:footnoteRef/>
      </w:r>
      <w:r w:rsidRPr="004C214D">
        <w:rPr>
          <w:rFonts w:ascii="Arial" w:hAnsi="Arial" w:cs="Arial"/>
          <w:sz w:val="18"/>
          <w:szCs w:val="18"/>
        </w:rPr>
        <w:t xml:space="preserve"> </w:t>
      </w:r>
      <w:r w:rsidRPr="004C214D">
        <w:rPr>
          <w:rFonts w:ascii="Arial" w:eastAsia="Times New Roman" w:hAnsi="Arial" w:cs="Arial"/>
          <w:iCs/>
          <w:color w:val="000000"/>
          <w:sz w:val="18"/>
          <w:szCs w:val="18"/>
          <w:lang w:eastAsia="it-IT"/>
        </w:rPr>
        <w:t xml:space="preserve">Regolamento recante disciplina delle procedure istruttorie dell'Autorità per l'energia elettrica e il gas, a norma dell'articolo 2, comma 24, lettera a), della </w:t>
      </w:r>
      <w:r>
        <w:rPr>
          <w:rFonts w:ascii="Arial" w:eastAsia="Times New Roman" w:hAnsi="Arial" w:cs="Arial"/>
          <w:iCs/>
          <w:color w:val="000000"/>
          <w:sz w:val="18"/>
          <w:szCs w:val="18"/>
          <w:lang w:eastAsia="it-IT"/>
        </w:rPr>
        <w:t>l. n. 481/1995</w:t>
      </w:r>
      <w:r w:rsidRPr="004C214D">
        <w:rPr>
          <w:rFonts w:ascii="Arial" w:eastAsia="Times New Roman" w:hAnsi="Arial" w:cs="Arial"/>
          <w:color w:val="000000"/>
          <w:sz w:val="18"/>
          <w:szCs w:val="18"/>
          <w:lang w:eastAsia="it-IT"/>
        </w:rPr>
        <w:t>.</w:t>
      </w:r>
    </w:p>
  </w:footnote>
  <w:footnote w:id="35">
    <w:p w:rsidR="00487FA9" w:rsidRDefault="00487FA9" w:rsidP="002307B0">
      <w:pPr>
        <w:pStyle w:val="Testonotaapidipagina"/>
        <w:ind w:firstLine="284"/>
      </w:pPr>
      <w:r w:rsidRPr="00487FA9">
        <w:rPr>
          <w:rStyle w:val="Rimandonotaapidipagina"/>
          <w:rFonts w:ascii="Arial" w:eastAsia="MS Mincho" w:hAnsi="Arial"/>
          <w:snapToGrid w:val="0"/>
          <w:sz w:val="18"/>
          <w:szCs w:val="0"/>
          <w:u w:color="000000"/>
          <w:vertAlign w:val="baseline"/>
          <w:lang w:eastAsia="it-IT"/>
        </w:rPr>
        <w:footnoteRef/>
      </w:r>
      <w:r>
        <w:t xml:space="preserve"> </w:t>
      </w:r>
      <w:r w:rsidRPr="00487FA9">
        <w:rPr>
          <w:rFonts w:ascii="Arial" w:hAnsi="Arial" w:cs="Arial"/>
          <w:sz w:val="18"/>
          <w:szCs w:val="18"/>
        </w:rPr>
        <w:t>In</w:t>
      </w:r>
      <w:r w:rsidRPr="00487FA9">
        <w:rPr>
          <w:rFonts w:ascii="Arial" w:hAnsi="Arial" w:cs="Arial"/>
          <w:i/>
          <w:sz w:val="18"/>
          <w:szCs w:val="18"/>
        </w:rPr>
        <w:t xml:space="preserve"> www.giustizia-amministrativa.it.</w:t>
      </w:r>
    </w:p>
  </w:footnote>
  <w:footnote w:id="36">
    <w:p w:rsidR="00487FA9" w:rsidRPr="009463EB" w:rsidRDefault="00487FA9" w:rsidP="009463EB">
      <w:pPr>
        <w:spacing w:before="60" w:after="0" w:line="205" w:lineRule="exact"/>
        <w:ind w:firstLine="284"/>
        <w:jc w:val="both"/>
        <w:rPr>
          <w:rFonts w:ascii="Arial" w:eastAsia="Times New Roman" w:hAnsi="Arial" w:cs="Arial"/>
          <w:sz w:val="18"/>
          <w:szCs w:val="18"/>
          <w:lang w:eastAsia="it-IT"/>
        </w:rPr>
      </w:pPr>
      <w:r w:rsidRPr="00CC7351">
        <w:rPr>
          <w:rStyle w:val="Rimandonotaapidipagina"/>
          <w:rFonts w:ascii="Arial" w:eastAsia="MS Mincho" w:hAnsi="Arial"/>
          <w:snapToGrid w:val="0"/>
          <w:sz w:val="18"/>
          <w:szCs w:val="0"/>
          <w:u w:color="000000"/>
          <w:vertAlign w:val="baseline"/>
          <w:lang w:eastAsia="it-IT"/>
        </w:rPr>
        <w:footnoteRef/>
      </w:r>
      <w:r w:rsidRPr="004C214D">
        <w:rPr>
          <w:rFonts w:ascii="Arial" w:hAnsi="Arial" w:cs="Arial"/>
          <w:sz w:val="18"/>
          <w:szCs w:val="18"/>
        </w:rPr>
        <w:t xml:space="preserve"> TAR Lombardia, Milano, </w:t>
      </w:r>
      <w:r>
        <w:rPr>
          <w:rFonts w:ascii="Arial" w:hAnsi="Arial" w:cs="Arial"/>
          <w:sz w:val="18"/>
          <w:szCs w:val="18"/>
        </w:rPr>
        <w:t xml:space="preserve">III, 1 aprile </w:t>
      </w:r>
      <w:r w:rsidRPr="004C214D">
        <w:rPr>
          <w:rFonts w:ascii="Arial" w:hAnsi="Arial" w:cs="Arial"/>
          <w:sz w:val="18"/>
          <w:szCs w:val="18"/>
        </w:rPr>
        <w:t>2009, n. 3357</w:t>
      </w:r>
      <w:r w:rsidR="007E0EF7" w:rsidRPr="007E0EF7">
        <w:rPr>
          <w:rFonts w:ascii="Arial" w:hAnsi="Arial" w:cs="Arial"/>
          <w:sz w:val="18"/>
          <w:szCs w:val="18"/>
        </w:rPr>
        <w:t xml:space="preserve"> </w:t>
      </w:r>
      <w:r w:rsidR="007E0EF7" w:rsidRPr="00487FA9">
        <w:rPr>
          <w:rFonts w:ascii="Arial" w:hAnsi="Arial" w:cs="Arial"/>
          <w:sz w:val="18"/>
          <w:szCs w:val="18"/>
        </w:rPr>
        <w:t>in</w:t>
      </w:r>
      <w:r w:rsidR="007E0EF7">
        <w:rPr>
          <w:rFonts w:ascii="Arial" w:hAnsi="Arial" w:cs="Arial"/>
          <w:i/>
          <w:sz w:val="18"/>
          <w:szCs w:val="18"/>
        </w:rPr>
        <w:t xml:space="preserve"> </w:t>
      </w:r>
      <w:r w:rsidR="007E0EF7" w:rsidRPr="00487FA9">
        <w:rPr>
          <w:rFonts w:ascii="Arial" w:hAnsi="Arial" w:cs="Arial"/>
          <w:i/>
          <w:sz w:val="18"/>
          <w:szCs w:val="18"/>
        </w:rPr>
        <w:t>www.giustizia-amministrativa.it</w:t>
      </w:r>
      <w:r w:rsidRPr="004C214D">
        <w:rPr>
          <w:rFonts w:ascii="Arial" w:hAnsi="Arial" w:cs="Arial"/>
          <w:sz w:val="18"/>
          <w:szCs w:val="18"/>
        </w:rPr>
        <w:t>; in particolare il Consiglio di Stato ha confermato l’annullamento della delibera impugnata ma con diversa motivazione rispetto alla sentenza di primo grado, stabilendo diversi criteri istruttori rispetti a quelli individuati dal TAR, cfr. nota 37.</w:t>
      </w:r>
    </w:p>
  </w:footnote>
  <w:footnote w:id="37">
    <w:p w:rsidR="00487FA9" w:rsidRPr="004C214D" w:rsidRDefault="00487FA9" w:rsidP="004C214D">
      <w:pPr>
        <w:spacing w:before="60" w:after="0" w:line="205" w:lineRule="exact"/>
        <w:ind w:firstLine="284"/>
        <w:jc w:val="both"/>
        <w:rPr>
          <w:rFonts w:ascii="Arial" w:eastAsia="Times New Roman" w:hAnsi="Arial" w:cs="Arial"/>
          <w:color w:val="000000"/>
          <w:sz w:val="18"/>
          <w:szCs w:val="18"/>
          <w:lang w:eastAsia="it-IT"/>
        </w:rPr>
      </w:pPr>
      <w:r w:rsidRPr="00CC7351">
        <w:rPr>
          <w:rStyle w:val="Rimandonotaapidipagina"/>
          <w:rFonts w:ascii="Arial" w:eastAsia="MS Mincho" w:hAnsi="Arial"/>
          <w:snapToGrid w:val="0"/>
          <w:sz w:val="18"/>
          <w:szCs w:val="0"/>
          <w:u w:color="000000"/>
          <w:vertAlign w:val="baseline"/>
          <w:lang w:eastAsia="it-IT"/>
        </w:rPr>
        <w:footnoteRef/>
      </w:r>
      <w:r w:rsidRPr="00CC7351">
        <w:rPr>
          <w:rStyle w:val="Rimandonotaapidipagina"/>
          <w:rFonts w:eastAsia="MS Mincho"/>
          <w:snapToGrid w:val="0"/>
          <w:szCs w:val="0"/>
          <w:u w:color="000000"/>
          <w:vertAlign w:val="baseline"/>
          <w:lang w:eastAsia="it-IT"/>
        </w:rPr>
        <w:t xml:space="preserve"> </w:t>
      </w:r>
      <w:r w:rsidRPr="004C214D">
        <w:rPr>
          <w:rFonts w:ascii="Arial" w:eastAsia="Times New Roman" w:hAnsi="Arial" w:cs="Arial"/>
          <w:color w:val="000000"/>
          <w:sz w:val="18"/>
          <w:szCs w:val="18"/>
          <w:lang w:eastAsia="it-IT"/>
        </w:rPr>
        <w:t>La sentenza aveva stabilito, ai fini della corretta determinazione del valore del CEC, i seguenti criteri analitici:</w:t>
      </w:r>
    </w:p>
    <w:p w:rsidR="00487FA9" w:rsidRPr="004C214D" w:rsidRDefault="00487FA9" w:rsidP="004C214D">
      <w:pPr>
        <w:spacing w:before="60" w:after="0" w:line="205" w:lineRule="exact"/>
        <w:ind w:firstLine="284"/>
        <w:jc w:val="both"/>
        <w:rPr>
          <w:rFonts w:ascii="Arial" w:eastAsia="Times New Roman" w:hAnsi="Arial" w:cs="Arial"/>
          <w:i/>
          <w:color w:val="000000"/>
          <w:sz w:val="18"/>
          <w:szCs w:val="18"/>
          <w:lang w:eastAsia="it-IT"/>
        </w:rPr>
      </w:pPr>
      <w:r w:rsidRPr="004C214D">
        <w:rPr>
          <w:rFonts w:ascii="Arial" w:eastAsia="Times New Roman" w:hAnsi="Arial" w:cs="Arial"/>
          <w:color w:val="000000"/>
          <w:sz w:val="18"/>
          <w:szCs w:val="18"/>
          <w:lang w:eastAsia="it-IT"/>
        </w:rPr>
        <w:t>«</w:t>
      </w:r>
      <w:r w:rsidRPr="004C214D">
        <w:rPr>
          <w:rFonts w:ascii="Arial" w:eastAsia="Times New Roman" w:hAnsi="Arial" w:cs="Arial"/>
          <w:i/>
          <w:color w:val="000000"/>
          <w:sz w:val="18"/>
          <w:szCs w:val="18"/>
          <w:lang w:eastAsia="it-IT"/>
        </w:rPr>
        <w:t>- tenere conto dell’effettiva struttura dei costi che incontra una centrale termoelettrica per l’approvvigionamento del gas naturale;</w:t>
      </w:r>
    </w:p>
    <w:p w:rsidR="00487FA9" w:rsidRPr="004C214D" w:rsidRDefault="00487FA9" w:rsidP="004C214D">
      <w:pPr>
        <w:spacing w:before="60" w:after="0" w:line="205" w:lineRule="exact"/>
        <w:ind w:firstLine="284"/>
        <w:jc w:val="both"/>
        <w:rPr>
          <w:rFonts w:ascii="Arial" w:eastAsia="Times New Roman" w:hAnsi="Arial" w:cs="Arial"/>
          <w:i/>
          <w:color w:val="000000"/>
          <w:sz w:val="18"/>
          <w:szCs w:val="18"/>
          <w:lang w:eastAsia="it-IT"/>
        </w:rPr>
      </w:pPr>
      <w:r w:rsidRPr="004C214D">
        <w:rPr>
          <w:rFonts w:ascii="Arial" w:eastAsia="Times New Roman" w:hAnsi="Arial" w:cs="Arial"/>
          <w:i/>
          <w:color w:val="000000"/>
          <w:sz w:val="18"/>
          <w:szCs w:val="18"/>
          <w:lang w:eastAsia="it-IT"/>
        </w:rPr>
        <w:t xml:space="preserve">- avere riguardo, a tal fine, </w:t>
      </w:r>
      <w:r w:rsidRPr="004C214D">
        <w:rPr>
          <w:rFonts w:ascii="Arial" w:eastAsia="Times New Roman" w:hAnsi="Arial" w:cs="Arial"/>
          <w:i/>
          <w:iCs/>
          <w:color w:val="000000"/>
          <w:sz w:val="18"/>
          <w:szCs w:val="18"/>
          <w:lang w:eastAsia="it-IT"/>
        </w:rPr>
        <w:t>non ad una qualsivoglia centrale termoelettrica, ma ad un modello di operatore virtuoso (…) che agisce in modo da conseguire il più conveniente prezzo del gas naturale</w:t>
      </w:r>
      <w:r w:rsidRPr="004C214D">
        <w:rPr>
          <w:rFonts w:ascii="Arial" w:eastAsia="Times New Roman" w:hAnsi="Arial" w:cs="Arial"/>
          <w:i/>
          <w:color w:val="000000"/>
          <w:sz w:val="18"/>
          <w:szCs w:val="18"/>
          <w:lang w:eastAsia="it-IT"/>
        </w:rPr>
        <w:t>;</w:t>
      </w:r>
    </w:p>
    <w:p w:rsidR="00487FA9" w:rsidRPr="004C214D" w:rsidRDefault="00487FA9" w:rsidP="004C214D">
      <w:pPr>
        <w:spacing w:before="60" w:after="0" w:line="205" w:lineRule="exact"/>
        <w:ind w:firstLine="284"/>
        <w:jc w:val="both"/>
        <w:rPr>
          <w:rFonts w:ascii="Arial" w:eastAsia="Times New Roman" w:hAnsi="Arial" w:cs="Arial"/>
          <w:i/>
          <w:color w:val="000000"/>
          <w:sz w:val="18"/>
          <w:szCs w:val="18"/>
          <w:lang w:eastAsia="it-IT"/>
        </w:rPr>
      </w:pPr>
      <w:r w:rsidRPr="004C214D">
        <w:rPr>
          <w:rFonts w:ascii="Arial" w:eastAsia="Times New Roman" w:hAnsi="Arial" w:cs="Arial"/>
          <w:i/>
          <w:color w:val="000000"/>
          <w:sz w:val="18"/>
          <w:szCs w:val="18"/>
          <w:lang w:eastAsia="it-IT"/>
        </w:rPr>
        <w:t xml:space="preserve">- individuare </w:t>
      </w:r>
      <w:r w:rsidRPr="004C214D">
        <w:rPr>
          <w:rFonts w:ascii="Arial" w:eastAsia="Times New Roman" w:hAnsi="Arial" w:cs="Arial"/>
          <w:i/>
          <w:iCs/>
          <w:color w:val="000000"/>
          <w:sz w:val="18"/>
          <w:szCs w:val="18"/>
          <w:lang w:eastAsia="it-IT"/>
        </w:rPr>
        <w:t>parametri oggettivi e ragionevoli</w:t>
      </w:r>
      <w:r w:rsidRPr="004C214D">
        <w:rPr>
          <w:rFonts w:ascii="Arial" w:eastAsia="Times New Roman" w:hAnsi="Arial" w:cs="Arial"/>
          <w:i/>
          <w:color w:val="000000"/>
          <w:sz w:val="18"/>
          <w:szCs w:val="18"/>
          <w:lang w:eastAsia="it-IT"/>
        </w:rPr>
        <w:t xml:space="preserve"> atti ad individuare, nella richiamata ottica dell’operatività dell’operatore virtuoso di mercato, il costo medio del gas naturale nell’ambito del mercato di riferimento;</w:t>
      </w:r>
    </w:p>
    <w:p w:rsidR="00487FA9" w:rsidRPr="004C214D" w:rsidRDefault="00487FA9" w:rsidP="004C214D">
      <w:pPr>
        <w:spacing w:before="60" w:after="0" w:line="205" w:lineRule="exact"/>
        <w:ind w:firstLine="284"/>
        <w:jc w:val="both"/>
        <w:rPr>
          <w:rFonts w:ascii="Arial" w:eastAsia="Times New Roman" w:hAnsi="Arial" w:cs="Arial"/>
          <w:color w:val="000000"/>
          <w:sz w:val="18"/>
          <w:szCs w:val="18"/>
          <w:lang w:eastAsia="it-IT"/>
        </w:rPr>
      </w:pPr>
      <w:r w:rsidRPr="004C214D">
        <w:rPr>
          <w:rFonts w:ascii="Arial" w:eastAsia="Times New Roman" w:hAnsi="Arial" w:cs="Arial"/>
          <w:i/>
          <w:color w:val="000000"/>
          <w:sz w:val="18"/>
          <w:szCs w:val="18"/>
          <w:lang w:eastAsia="it-IT"/>
        </w:rPr>
        <w:t xml:space="preserve">- assumere ulteriori elementi correttivi (ulteriori rispetto alla pura e semplice valutazione del prezzo medio di mercato) laddove emergesse che il costo medio in tal modo determinato risultasse </w:t>
      </w:r>
      <w:r w:rsidRPr="004C214D">
        <w:rPr>
          <w:rFonts w:ascii="Arial" w:eastAsia="Times New Roman" w:hAnsi="Arial" w:cs="Arial"/>
          <w:i/>
          <w:iCs/>
          <w:color w:val="000000"/>
          <w:sz w:val="18"/>
          <w:szCs w:val="18"/>
          <w:lang w:eastAsia="it-IT"/>
        </w:rPr>
        <w:t>iniquo, irreale, sbilanciato</w:t>
      </w:r>
      <w:r w:rsidRPr="004C214D">
        <w:rPr>
          <w:rFonts w:ascii="Arial" w:eastAsia="Times New Roman" w:hAnsi="Arial" w:cs="Arial"/>
          <w:i/>
          <w:color w:val="000000"/>
          <w:sz w:val="18"/>
          <w:szCs w:val="18"/>
          <w:lang w:eastAsia="it-IT"/>
        </w:rPr>
        <w:t>. Ciò, al fine di evitare che il puro e semplice utilizzo della media dei prezzi potesse condurre a un prezzo medio di riferimento influenzato da elementi distorsivi quali: i) il carattere non pienamente concorrenziale del mercato di riferimento; ii) l’esistenza di asimmetrie nei rapporti di forza contrattuali fra gli operatori</w:t>
      </w:r>
      <w:r w:rsidRPr="004C214D">
        <w:rPr>
          <w:rFonts w:ascii="Arial" w:eastAsia="Times New Roman" w:hAnsi="Arial" w:cs="Arial"/>
          <w:color w:val="000000"/>
          <w:sz w:val="18"/>
          <w:szCs w:val="18"/>
          <w:lang w:eastAsia="it-IT"/>
        </w:rPr>
        <w:t>».</w:t>
      </w:r>
    </w:p>
  </w:footnote>
  <w:footnote w:id="38">
    <w:p w:rsidR="00487FA9" w:rsidRPr="004C214D" w:rsidRDefault="00487FA9" w:rsidP="007E0EF7">
      <w:pPr>
        <w:pStyle w:val="Testonotaapidipagina"/>
        <w:spacing w:before="60" w:line="205" w:lineRule="exact"/>
        <w:ind w:firstLine="284"/>
        <w:jc w:val="both"/>
        <w:rPr>
          <w:rFonts w:ascii="Arial" w:hAnsi="Arial" w:cs="Arial"/>
          <w:sz w:val="18"/>
          <w:szCs w:val="18"/>
        </w:rPr>
      </w:pPr>
      <w:r w:rsidRPr="00CC7351">
        <w:rPr>
          <w:rStyle w:val="Rimandonotaapidipagina"/>
          <w:rFonts w:ascii="Arial" w:eastAsia="MS Mincho" w:hAnsi="Arial"/>
          <w:snapToGrid w:val="0"/>
          <w:sz w:val="18"/>
          <w:szCs w:val="0"/>
          <w:u w:color="000000"/>
          <w:vertAlign w:val="baseline"/>
          <w:lang w:eastAsia="it-IT"/>
        </w:rPr>
        <w:footnoteRef/>
      </w:r>
      <w:r w:rsidRPr="004C214D">
        <w:rPr>
          <w:rFonts w:ascii="Arial" w:hAnsi="Arial" w:cs="Arial"/>
          <w:sz w:val="18"/>
          <w:szCs w:val="18"/>
        </w:rPr>
        <w:t xml:space="preserve"> Cfr. </w:t>
      </w:r>
      <w:r>
        <w:rPr>
          <w:rFonts w:ascii="Arial" w:hAnsi="Arial" w:cs="Arial"/>
          <w:sz w:val="18"/>
          <w:szCs w:val="18"/>
        </w:rPr>
        <w:t>la già citata sentenza del Cons. Stato</w:t>
      </w:r>
      <w:r w:rsidRPr="004C214D">
        <w:rPr>
          <w:rFonts w:ascii="Arial" w:hAnsi="Arial" w:cs="Arial"/>
          <w:sz w:val="18"/>
          <w:szCs w:val="18"/>
        </w:rPr>
        <w:t xml:space="preserve">, VI, </w:t>
      </w:r>
      <w:r>
        <w:rPr>
          <w:rFonts w:ascii="Arial" w:hAnsi="Arial" w:cs="Arial"/>
          <w:sz w:val="18"/>
          <w:szCs w:val="18"/>
        </w:rPr>
        <w:t xml:space="preserve">11 settembre 2014, </w:t>
      </w:r>
      <w:r w:rsidRPr="004C214D">
        <w:rPr>
          <w:rFonts w:ascii="Arial" w:hAnsi="Arial" w:cs="Arial"/>
          <w:sz w:val="18"/>
          <w:szCs w:val="18"/>
        </w:rPr>
        <w:t>n. 4629</w:t>
      </w:r>
      <w:r>
        <w:rPr>
          <w:rFonts w:ascii="Arial" w:hAnsi="Arial" w:cs="Arial"/>
          <w:sz w:val="18"/>
          <w:szCs w:val="18"/>
        </w:rPr>
        <w:t>.</w:t>
      </w:r>
    </w:p>
  </w:footnote>
  <w:footnote w:id="39">
    <w:p w:rsidR="007E0EF7" w:rsidRDefault="007E0EF7" w:rsidP="007E0EF7">
      <w:pPr>
        <w:pStyle w:val="Testonotaapidipagina"/>
        <w:ind w:firstLine="284"/>
        <w:jc w:val="both"/>
      </w:pPr>
      <w:r w:rsidRPr="007E0EF7">
        <w:rPr>
          <w:rStyle w:val="Rimandonotaapidipagina"/>
          <w:rFonts w:ascii="Arial" w:eastAsia="MS Mincho" w:hAnsi="Arial"/>
          <w:snapToGrid w:val="0"/>
          <w:sz w:val="18"/>
          <w:szCs w:val="0"/>
          <w:u w:color="000000"/>
          <w:vertAlign w:val="baseline"/>
          <w:lang w:eastAsia="it-IT"/>
        </w:rPr>
        <w:footnoteRef/>
      </w:r>
      <w:r w:rsidRPr="007E0EF7">
        <w:rPr>
          <w:rStyle w:val="Rimandonotaapidipagina"/>
          <w:rFonts w:ascii="Arial" w:eastAsia="MS Mincho" w:hAnsi="Arial"/>
          <w:snapToGrid w:val="0"/>
          <w:sz w:val="18"/>
          <w:szCs w:val="0"/>
          <w:u w:color="000000"/>
          <w:vertAlign w:val="baseline"/>
          <w:lang w:eastAsia="it-IT"/>
        </w:rPr>
        <w:t xml:space="preserve"> </w:t>
      </w:r>
      <w:r>
        <w:rPr>
          <w:rFonts w:ascii="Arial" w:hAnsi="Arial" w:cs="Arial"/>
          <w:sz w:val="18"/>
          <w:szCs w:val="18"/>
        </w:rPr>
        <w:t>I</w:t>
      </w:r>
      <w:r w:rsidRPr="00487FA9">
        <w:rPr>
          <w:rFonts w:ascii="Arial" w:hAnsi="Arial" w:cs="Arial"/>
          <w:sz w:val="18"/>
          <w:szCs w:val="18"/>
        </w:rPr>
        <w:t>n</w:t>
      </w:r>
      <w:r>
        <w:rPr>
          <w:rFonts w:ascii="Arial" w:hAnsi="Arial" w:cs="Arial"/>
          <w:i/>
          <w:sz w:val="18"/>
          <w:szCs w:val="18"/>
        </w:rPr>
        <w:t xml:space="preserve"> </w:t>
      </w:r>
      <w:r w:rsidRPr="00487FA9">
        <w:rPr>
          <w:rFonts w:ascii="Arial" w:hAnsi="Arial" w:cs="Arial"/>
          <w:i/>
          <w:sz w:val="18"/>
          <w:szCs w:val="18"/>
        </w:rPr>
        <w:t>www.giustizia-amministrativa.it</w:t>
      </w:r>
      <w:r>
        <w:rPr>
          <w:rFonts w:ascii="Arial" w:hAnsi="Arial" w:cs="Arial"/>
          <w:i/>
          <w:sz w:val="18"/>
          <w:szCs w:val="18"/>
        </w:rPr>
        <w:t>.</w:t>
      </w:r>
    </w:p>
  </w:footnote>
  <w:footnote w:id="40">
    <w:p w:rsidR="00487FA9" w:rsidRPr="007E0EF7" w:rsidRDefault="00487FA9" w:rsidP="007E0EF7">
      <w:pPr>
        <w:pStyle w:val="Testonotaapidipagina"/>
        <w:spacing w:before="60" w:line="205" w:lineRule="exact"/>
        <w:ind w:firstLine="284"/>
        <w:jc w:val="both"/>
        <w:rPr>
          <w:rFonts w:ascii="Arial" w:hAnsi="Arial" w:cs="Arial"/>
          <w:sz w:val="18"/>
          <w:szCs w:val="18"/>
        </w:rPr>
      </w:pPr>
      <w:r w:rsidRPr="007E0EF7">
        <w:rPr>
          <w:rStyle w:val="Rimandonotaapidipagina"/>
          <w:rFonts w:ascii="Arial" w:eastAsia="MS Mincho" w:hAnsi="Arial" w:cs="Arial"/>
          <w:snapToGrid w:val="0"/>
          <w:sz w:val="18"/>
          <w:szCs w:val="18"/>
          <w:u w:color="000000"/>
          <w:vertAlign w:val="baseline"/>
          <w:lang w:eastAsia="it-IT"/>
        </w:rPr>
        <w:footnoteRef/>
      </w:r>
      <w:r w:rsidRPr="007E0EF7">
        <w:rPr>
          <w:rStyle w:val="Rimandonotaapidipagina"/>
          <w:rFonts w:ascii="Arial" w:eastAsia="MS Mincho" w:hAnsi="Arial" w:cs="Arial"/>
          <w:snapToGrid w:val="0"/>
          <w:sz w:val="18"/>
          <w:szCs w:val="18"/>
          <w:u w:color="000000"/>
          <w:vertAlign w:val="baseline"/>
          <w:lang w:eastAsia="it-IT"/>
        </w:rPr>
        <w:t xml:space="preserve"> TAR Lombardia, Milano, III, 13 dicembre 2012, n. 3030</w:t>
      </w:r>
      <w:r w:rsidR="007E0EF7" w:rsidRPr="007E0EF7">
        <w:rPr>
          <w:rStyle w:val="Rimandonotaapidipagina"/>
          <w:rFonts w:ascii="Arial" w:eastAsia="MS Mincho" w:hAnsi="Arial" w:cs="Arial"/>
          <w:snapToGrid w:val="0"/>
          <w:sz w:val="18"/>
          <w:szCs w:val="18"/>
          <w:u w:color="000000"/>
          <w:vertAlign w:val="baseline"/>
          <w:lang w:eastAsia="it-IT"/>
        </w:rPr>
        <w:t xml:space="preserve"> in www.giustizia-amministrativa.it</w:t>
      </w:r>
      <w:r w:rsidRPr="007E0EF7">
        <w:rPr>
          <w:rStyle w:val="Rimandonotaapidipagina"/>
          <w:rFonts w:ascii="Arial" w:eastAsia="MS Mincho" w:hAnsi="Arial" w:cs="Arial"/>
          <w:snapToGrid w:val="0"/>
          <w:sz w:val="18"/>
          <w:szCs w:val="18"/>
          <w:u w:color="000000"/>
          <w:vertAlign w:val="baseline"/>
          <w:lang w:eastAsia="it-IT"/>
        </w:rPr>
        <w:t>.</w:t>
      </w:r>
    </w:p>
  </w:footnote>
  <w:footnote w:id="41">
    <w:p w:rsidR="00487FA9" w:rsidRPr="004C214D" w:rsidRDefault="00487FA9" w:rsidP="004C214D">
      <w:pPr>
        <w:pStyle w:val="Testonotaapidipagina"/>
        <w:spacing w:before="60" w:line="205" w:lineRule="exact"/>
        <w:ind w:firstLine="284"/>
        <w:jc w:val="both"/>
        <w:rPr>
          <w:rFonts w:ascii="Arial" w:hAnsi="Arial" w:cs="Arial"/>
          <w:sz w:val="18"/>
          <w:szCs w:val="18"/>
        </w:rPr>
      </w:pPr>
      <w:r w:rsidRPr="00CC7351">
        <w:rPr>
          <w:rStyle w:val="Rimandonotaapidipagina"/>
          <w:rFonts w:ascii="Arial" w:eastAsia="MS Mincho" w:hAnsi="Arial"/>
          <w:snapToGrid w:val="0"/>
          <w:sz w:val="18"/>
          <w:szCs w:val="0"/>
          <w:u w:color="000000"/>
          <w:vertAlign w:val="baseline"/>
          <w:lang w:eastAsia="it-IT"/>
        </w:rPr>
        <w:footnoteRef/>
      </w:r>
      <w:r w:rsidRPr="004C214D">
        <w:rPr>
          <w:rFonts w:ascii="Arial" w:hAnsi="Arial" w:cs="Arial"/>
          <w:sz w:val="18"/>
          <w:szCs w:val="18"/>
        </w:rPr>
        <w:t xml:space="preserve"> In particolare secondo il giudice </w:t>
      </w:r>
      <w:r w:rsidRPr="004C214D">
        <w:rPr>
          <w:rFonts w:ascii="Arial" w:eastAsia="Times New Roman" w:hAnsi="Arial" w:cs="Arial"/>
          <w:color w:val="000000"/>
          <w:sz w:val="18"/>
          <w:szCs w:val="18"/>
          <w:lang w:eastAsia="it-IT"/>
        </w:rPr>
        <w:t>«s</w:t>
      </w:r>
      <w:r w:rsidRPr="004C214D">
        <w:rPr>
          <w:rFonts w:ascii="Arial" w:eastAsia="Times New Roman" w:hAnsi="Arial" w:cs="Arial"/>
          <w:i/>
          <w:color w:val="000000"/>
          <w:sz w:val="18"/>
          <w:szCs w:val="18"/>
          <w:lang w:eastAsia="it-IT"/>
        </w:rPr>
        <w:t>i potrebbe stipulare un contratto di garanzia avente ad oggetto un quantitativo di gas nella misura pari al valore del credito con l’aggiunta di una clausola di rinegoziazione finalizzata ad assicurare l’equilibrio economico-giuridico dell’assetto di interessi. In particolare, detta clausola potrebbe prevedere che, in caso di mutamento di valore favorevole al creditore o al debitore, le parti modifichino l’oggetto del contratto per adeguarlo alle sopravvenienze. Si potrebbe anche prevedere che a tale sistema possano ricorrere soltanto quelle imprese che hanno una riserva di stoccaggio tale da avere a disposizione, in caso di variazione dei valori, quel quantitativo di gas necessario ad assicurare la modificazione, nel senso indicato, dell’oggetto del contratto di garanzia</w:t>
      </w:r>
      <w:r w:rsidRPr="004C214D">
        <w:rPr>
          <w:rFonts w:ascii="Arial" w:eastAsia="Times New Roman" w:hAnsi="Arial" w:cs="Arial"/>
          <w:color w:val="000000"/>
          <w:sz w:val="18"/>
          <w:szCs w:val="18"/>
          <w:lang w:eastAsia="it-IT"/>
        </w:rPr>
        <w:t>».</w:t>
      </w:r>
    </w:p>
  </w:footnote>
  <w:footnote w:id="42">
    <w:p w:rsidR="007E0EF7" w:rsidRDefault="007E0EF7" w:rsidP="002307B0">
      <w:pPr>
        <w:pStyle w:val="Testonotaapidipagina"/>
        <w:ind w:firstLine="284"/>
      </w:pPr>
      <w:r w:rsidRPr="007E0EF7">
        <w:rPr>
          <w:rStyle w:val="Rimandonotaapidipagina"/>
          <w:rFonts w:ascii="Arial" w:eastAsia="MS Mincho" w:hAnsi="Arial"/>
          <w:snapToGrid w:val="0"/>
          <w:sz w:val="18"/>
          <w:szCs w:val="0"/>
          <w:u w:color="000000"/>
          <w:vertAlign w:val="baseline"/>
          <w:lang w:eastAsia="it-IT"/>
        </w:rPr>
        <w:footnoteRef/>
      </w:r>
      <w:r>
        <w:rPr>
          <w:rFonts w:ascii="Arial" w:hAnsi="Arial" w:cs="Arial"/>
          <w:sz w:val="18"/>
          <w:szCs w:val="18"/>
        </w:rPr>
        <w:t xml:space="preserve"> I</w:t>
      </w:r>
      <w:r w:rsidRPr="00487FA9">
        <w:rPr>
          <w:rFonts w:ascii="Arial" w:hAnsi="Arial" w:cs="Arial"/>
          <w:sz w:val="18"/>
          <w:szCs w:val="18"/>
        </w:rPr>
        <w:t>n</w:t>
      </w:r>
      <w:r>
        <w:rPr>
          <w:rFonts w:ascii="Arial" w:hAnsi="Arial" w:cs="Arial"/>
          <w:i/>
          <w:sz w:val="18"/>
          <w:szCs w:val="18"/>
        </w:rPr>
        <w:t xml:space="preserve"> </w:t>
      </w:r>
      <w:r w:rsidRPr="00487FA9">
        <w:rPr>
          <w:rFonts w:ascii="Arial" w:hAnsi="Arial" w:cs="Arial"/>
          <w:i/>
          <w:sz w:val="18"/>
          <w:szCs w:val="18"/>
        </w:rPr>
        <w:t>www.giustizia-amministrativa.it</w:t>
      </w:r>
      <w:r>
        <w:t>.</w:t>
      </w:r>
      <w:r w:rsidR="002307B0">
        <w:t xml:space="preserve"> </w:t>
      </w:r>
    </w:p>
  </w:footnote>
  <w:footnote w:id="43">
    <w:p w:rsidR="00487FA9" w:rsidRPr="004C214D" w:rsidRDefault="00487FA9" w:rsidP="004C214D">
      <w:pPr>
        <w:pStyle w:val="Testonotaapidipagina"/>
        <w:spacing w:before="60" w:line="205" w:lineRule="exact"/>
        <w:ind w:firstLine="284"/>
        <w:jc w:val="both"/>
        <w:rPr>
          <w:rFonts w:ascii="Arial" w:hAnsi="Arial" w:cs="Arial"/>
          <w:sz w:val="18"/>
          <w:szCs w:val="18"/>
        </w:rPr>
      </w:pPr>
      <w:r w:rsidRPr="00CC7351">
        <w:rPr>
          <w:rStyle w:val="Rimandonotaapidipagina"/>
          <w:rFonts w:ascii="Arial" w:eastAsia="MS Mincho" w:hAnsi="Arial"/>
          <w:snapToGrid w:val="0"/>
          <w:sz w:val="18"/>
          <w:szCs w:val="0"/>
          <w:u w:color="000000"/>
          <w:vertAlign w:val="baseline"/>
          <w:lang w:eastAsia="it-IT"/>
        </w:rPr>
        <w:footnoteRef/>
      </w:r>
      <w:r w:rsidRPr="004C214D">
        <w:rPr>
          <w:rFonts w:ascii="Arial" w:hAnsi="Arial" w:cs="Arial"/>
          <w:sz w:val="18"/>
          <w:szCs w:val="18"/>
        </w:rPr>
        <w:t xml:space="preserve"> Considerato che l’attività non viene classificata come regolatoria; cfr. </w:t>
      </w:r>
      <w:r>
        <w:rPr>
          <w:rFonts w:ascii="Arial" w:hAnsi="Arial" w:cs="Arial"/>
          <w:sz w:val="18"/>
          <w:szCs w:val="18"/>
        </w:rPr>
        <w:t>la già citata sentenza</w:t>
      </w:r>
      <w:r w:rsidRPr="004C214D">
        <w:rPr>
          <w:rFonts w:ascii="Arial" w:hAnsi="Arial" w:cs="Arial"/>
          <w:sz w:val="18"/>
          <w:szCs w:val="18"/>
        </w:rPr>
        <w:t xml:space="preserve"> </w:t>
      </w:r>
      <w:r>
        <w:rPr>
          <w:rFonts w:ascii="Arial" w:hAnsi="Arial" w:cs="Arial"/>
          <w:sz w:val="18"/>
          <w:szCs w:val="18"/>
        </w:rPr>
        <w:t xml:space="preserve">del </w:t>
      </w:r>
      <w:r w:rsidRPr="004C214D">
        <w:rPr>
          <w:rFonts w:ascii="Arial" w:hAnsi="Arial" w:cs="Arial"/>
          <w:sz w:val="18"/>
          <w:szCs w:val="18"/>
        </w:rPr>
        <w:t xml:space="preserve">TAR Milano, </w:t>
      </w:r>
      <w:r>
        <w:rPr>
          <w:rFonts w:ascii="Arial" w:hAnsi="Arial" w:cs="Arial"/>
          <w:sz w:val="18"/>
          <w:szCs w:val="18"/>
        </w:rPr>
        <w:t>III,  22 maggio 2014, n. 1325</w:t>
      </w:r>
      <w:r w:rsidRPr="004C214D">
        <w:rPr>
          <w:rFonts w:ascii="Arial" w:hAnsi="Arial" w:cs="Arial"/>
          <w:sz w:val="18"/>
          <w:szCs w:val="18"/>
        </w:rPr>
        <w:t>.</w:t>
      </w:r>
    </w:p>
  </w:footnote>
  <w:footnote w:id="44">
    <w:p w:rsidR="00487FA9" w:rsidRPr="004C214D" w:rsidRDefault="00487FA9" w:rsidP="004C214D">
      <w:pPr>
        <w:pStyle w:val="Testonotaapidipagina"/>
        <w:spacing w:before="60" w:line="205" w:lineRule="exact"/>
        <w:ind w:firstLine="284"/>
        <w:jc w:val="both"/>
        <w:rPr>
          <w:rFonts w:ascii="Arial" w:hAnsi="Arial" w:cs="Arial"/>
          <w:sz w:val="18"/>
          <w:szCs w:val="18"/>
        </w:rPr>
      </w:pPr>
      <w:r w:rsidRPr="00CC7351">
        <w:rPr>
          <w:rStyle w:val="Rimandonotaapidipagina"/>
          <w:rFonts w:ascii="Arial" w:eastAsia="MS Mincho" w:hAnsi="Arial"/>
          <w:snapToGrid w:val="0"/>
          <w:sz w:val="18"/>
          <w:szCs w:val="0"/>
          <w:u w:color="000000"/>
          <w:vertAlign w:val="baseline"/>
          <w:lang w:eastAsia="it-IT"/>
        </w:rPr>
        <w:footnoteRef/>
      </w:r>
      <w:r w:rsidRPr="004C214D">
        <w:rPr>
          <w:rFonts w:ascii="Arial" w:hAnsi="Arial" w:cs="Arial"/>
          <w:sz w:val="18"/>
          <w:szCs w:val="18"/>
        </w:rPr>
        <w:t xml:space="preserve"> </w:t>
      </w:r>
      <w:r w:rsidRPr="009463EB">
        <w:rPr>
          <w:rFonts w:ascii="Arial" w:hAnsi="Arial" w:cs="Arial"/>
          <w:smallCaps/>
          <w:sz w:val="18"/>
          <w:szCs w:val="18"/>
        </w:rPr>
        <w:t>A.Travi</w:t>
      </w:r>
      <w:r w:rsidRPr="004C214D">
        <w:rPr>
          <w:rFonts w:ascii="Arial" w:hAnsi="Arial" w:cs="Arial"/>
          <w:sz w:val="18"/>
          <w:szCs w:val="18"/>
        </w:rPr>
        <w:t xml:space="preserve">, </w:t>
      </w:r>
      <w:r w:rsidRPr="009463EB">
        <w:rPr>
          <w:rFonts w:ascii="Arial" w:hAnsi="Arial" w:cs="Arial"/>
          <w:i/>
          <w:sz w:val="18"/>
          <w:szCs w:val="18"/>
        </w:rPr>
        <w:t>Autorità per l’energia elettrica e giudice amministrativo</w:t>
      </w:r>
      <w:r w:rsidRPr="004C214D">
        <w:rPr>
          <w:rFonts w:ascii="Arial" w:hAnsi="Arial" w:cs="Arial"/>
          <w:sz w:val="18"/>
          <w:szCs w:val="18"/>
        </w:rPr>
        <w:t xml:space="preserve"> cit., p</w:t>
      </w:r>
      <w:r>
        <w:rPr>
          <w:rFonts w:ascii="Arial" w:hAnsi="Arial" w:cs="Arial"/>
          <w:sz w:val="18"/>
          <w:szCs w:val="18"/>
        </w:rPr>
        <w:t>p</w:t>
      </w:r>
      <w:r w:rsidRPr="004C214D">
        <w:rPr>
          <w:rFonts w:ascii="Arial" w:hAnsi="Arial" w:cs="Arial"/>
          <w:sz w:val="18"/>
          <w:szCs w:val="18"/>
        </w:rPr>
        <w:t>. 76-77 il quale osserva che «</w:t>
      </w:r>
      <w:r w:rsidRPr="004C214D">
        <w:rPr>
          <w:rFonts w:ascii="Arial" w:hAnsi="Arial" w:cs="Arial"/>
          <w:i/>
          <w:sz w:val="18"/>
          <w:szCs w:val="18"/>
        </w:rPr>
        <w:t>semmai sono le categorie del giudice (e ancora in primo luogo le figure dell’eccesso di potere) a doversi adattare alla regolazione di attività economiche</w:t>
      </w:r>
      <w:r w:rsidRPr="004C214D">
        <w:rPr>
          <w:rFonts w:ascii="Arial" w:hAnsi="Arial" w:cs="Arial"/>
          <w:sz w:val="18"/>
          <w:szCs w:val="18"/>
        </w:rPr>
        <w:t>» e che d’altra parte «</w:t>
      </w:r>
      <w:r w:rsidRPr="004C214D">
        <w:rPr>
          <w:rFonts w:ascii="Arial" w:hAnsi="Arial" w:cs="Arial"/>
          <w:i/>
          <w:sz w:val="18"/>
          <w:szCs w:val="18"/>
        </w:rPr>
        <w:t>le regole del sindacato di legittimità non sono categorie logiche, ma sono strumenti pratici e perciò devono misurarsi col contesto nel quale vanno applicate</w:t>
      </w:r>
      <w:r w:rsidRPr="004C214D">
        <w:rPr>
          <w:rFonts w:ascii="Arial" w:hAnsi="Arial" w:cs="Arial"/>
          <w:sz w:val="18"/>
          <w:szCs w:val="18"/>
        </w:rPr>
        <w:t xml:space="preserve">»; cfr. altresì </w:t>
      </w:r>
      <w:r w:rsidRPr="009463EB">
        <w:rPr>
          <w:rFonts w:ascii="Arial" w:hAnsi="Arial" w:cs="Arial"/>
          <w:smallCaps/>
          <w:sz w:val="18"/>
          <w:szCs w:val="18"/>
        </w:rPr>
        <w:t>B. Tonoletti</w:t>
      </w:r>
      <w:r w:rsidRPr="004C214D">
        <w:rPr>
          <w:rFonts w:ascii="Arial" w:hAnsi="Arial" w:cs="Arial"/>
          <w:sz w:val="18"/>
          <w:szCs w:val="18"/>
        </w:rPr>
        <w:t xml:space="preserve">, </w:t>
      </w:r>
      <w:r w:rsidRPr="009463EB">
        <w:rPr>
          <w:rFonts w:ascii="Arial" w:hAnsi="Arial" w:cs="Arial"/>
          <w:i/>
          <w:sz w:val="18"/>
          <w:szCs w:val="18"/>
        </w:rPr>
        <w:t>Il mercato come oggetto della regolazione</w:t>
      </w:r>
      <w:r w:rsidRPr="004C214D">
        <w:rPr>
          <w:rFonts w:ascii="Arial" w:hAnsi="Arial" w:cs="Arial"/>
          <w:sz w:val="18"/>
          <w:szCs w:val="18"/>
        </w:rPr>
        <w:t>, in questa Rivista n. 1/2014, secondo il quale «</w:t>
      </w:r>
      <w:r w:rsidRPr="004C214D">
        <w:rPr>
          <w:rFonts w:ascii="Arial" w:hAnsi="Arial" w:cs="Arial"/>
          <w:i/>
          <w:sz w:val="18"/>
          <w:szCs w:val="18"/>
        </w:rPr>
        <w:t>il mercato non è mai semplicemente l’oggetto della regolazione, perché in realtà ne determina tanto il problema quanto le via da percorrere per risolverlo. Per questo si assume, spesso implicitamente, che la problematica della regolazione sia diversa e specifica rispetto a qualsiasi altra questione di disciplina giuridica e debba quindi essere risolta in base ad una logica particolare</w:t>
      </w:r>
      <w:r w:rsidRPr="004C214D">
        <w:rPr>
          <w:rFonts w:ascii="Arial" w:hAnsi="Arial" w:cs="Arial"/>
          <w:sz w:val="18"/>
          <w:szCs w:val="18"/>
        </w:rPr>
        <w:t>».</w:t>
      </w:r>
    </w:p>
  </w:footnote>
  <w:footnote w:id="45">
    <w:p w:rsidR="00487FA9" w:rsidRPr="004C214D" w:rsidRDefault="00487FA9" w:rsidP="004C214D">
      <w:pPr>
        <w:pStyle w:val="Testonotaapidipagina"/>
        <w:spacing w:before="60" w:line="205" w:lineRule="exact"/>
        <w:ind w:firstLine="284"/>
        <w:jc w:val="both"/>
        <w:rPr>
          <w:rFonts w:ascii="Arial" w:hAnsi="Arial" w:cs="Arial"/>
          <w:sz w:val="18"/>
          <w:szCs w:val="18"/>
        </w:rPr>
      </w:pPr>
      <w:r w:rsidRPr="00CC7351">
        <w:rPr>
          <w:rStyle w:val="Rimandonotaapidipagina"/>
          <w:rFonts w:ascii="Arial" w:eastAsia="MS Mincho" w:hAnsi="Arial"/>
          <w:snapToGrid w:val="0"/>
          <w:sz w:val="18"/>
          <w:szCs w:val="0"/>
          <w:u w:color="000000"/>
          <w:vertAlign w:val="baseline"/>
          <w:lang w:eastAsia="it-IT"/>
        </w:rPr>
        <w:footnoteRef/>
      </w:r>
      <w:r w:rsidRPr="00CC7351">
        <w:rPr>
          <w:rStyle w:val="Rimandonotaapidipagina"/>
          <w:rFonts w:eastAsia="MS Mincho"/>
          <w:snapToGrid w:val="0"/>
          <w:szCs w:val="0"/>
          <w:u w:color="000000"/>
          <w:vertAlign w:val="baseline"/>
          <w:lang w:eastAsia="it-IT"/>
        </w:rPr>
        <w:t xml:space="preserve"> </w:t>
      </w:r>
      <w:r w:rsidRPr="00934185">
        <w:rPr>
          <w:rFonts w:ascii="Arial" w:hAnsi="Arial" w:cs="Arial"/>
          <w:smallCaps/>
          <w:sz w:val="18"/>
          <w:szCs w:val="18"/>
        </w:rPr>
        <w:t>M.</w:t>
      </w:r>
      <w:r>
        <w:rPr>
          <w:rFonts w:ascii="Arial" w:hAnsi="Arial" w:cs="Arial"/>
          <w:smallCaps/>
          <w:sz w:val="18"/>
          <w:szCs w:val="18"/>
        </w:rPr>
        <w:t xml:space="preserve"> </w:t>
      </w:r>
      <w:r w:rsidRPr="00934185">
        <w:rPr>
          <w:rFonts w:ascii="Arial" w:hAnsi="Arial" w:cs="Arial"/>
          <w:smallCaps/>
          <w:sz w:val="18"/>
          <w:szCs w:val="18"/>
        </w:rPr>
        <w:t>Ramajoli</w:t>
      </w:r>
      <w:r w:rsidRPr="004C214D">
        <w:rPr>
          <w:rFonts w:ascii="Arial" w:hAnsi="Arial" w:cs="Arial"/>
          <w:sz w:val="18"/>
          <w:szCs w:val="18"/>
        </w:rPr>
        <w:t xml:space="preserve">, </w:t>
      </w:r>
      <w:r w:rsidRPr="00934185">
        <w:rPr>
          <w:rFonts w:ascii="Arial" w:hAnsi="Arial" w:cs="Arial"/>
          <w:i/>
          <w:sz w:val="18"/>
          <w:szCs w:val="18"/>
        </w:rPr>
        <w:t>Procedimento regolatorio e partecipazione</w:t>
      </w:r>
      <w:r w:rsidRPr="004C214D">
        <w:rPr>
          <w:rFonts w:ascii="Arial" w:hAnsi="Arial" w:cs="Arial"/>
          <w:sz w:val="18"/>
          <w:szCs w:val="18"/>
        </w:rPr>
        <w:t xml:space="preserve"> cit., p. 214.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E7D08"/>
    <w:multiLevelType w:val="hybridMultilevel"/>
    <w:tmpl w:val="FC9E04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7124466"/>
    <w:multiLevelType w:val="hybridMultilevel"/>
    <w:tmpl w:val="26AE62B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91E74E2"/>
    <w:multiLevelType w:val="hybridMultilevel"/>
    <w:tmpl w:val="ADA2CEA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E92"/>
    <w:rsid w:val="00007A6E"/>
    <w:rsid w:val="00020CB1"/>
    <w:rsid w:val="00027C08"/>
    <w:rsid w:val="0003122C"/>
    <w:rsid w:val="000440D5"/>
    <w:rsid w:val="00056A4C"/>
    <w:rsid w:val="00061EF0"/>
    <w:rsid w:val="000668DA"/>
    <w:rsid w:val="00070D35"/>
    <w:rsid w:val="00072E23"/>
    <w:rsid w:val="00074CB9"/>
    <w:rsid w:val="000766D5"/>
    <w:rsid w:val="00080EF7"/>
    <w:rsid w:val="0008360A"/>
    <w:rsid w:val="00083C50"/>
    <w:rsid w:val="0009208D"/>
    <w:rsid w:val="000A1274"/>
    <w:rsid w:val="000A30E2"/>
    <w:rsid w:val="000A6340"/>
    <w:rsid w:val="000B395D"/>
    <w:rsid w:val="000B67EF"/>
    <w:rsid w:val="000B6D3E"/>
    <w:rsid w:val="000B70FF"/>
    <w:rsid w:val="000B7A7A"/>
    <w:rsid w:val="000C1579"/>
    <w:rsid w:val="000C4DCD"/>
    <w:rsid w:val="000D5A75"/>
    <w:rsid w:val="000D6CC9"/>
    <w:rsid w:val="000E11C8"/>
    <w:rsid w:val="000E62E2"/>
    <w:rsid w:val="000F002F"/>
    <w:rsid w:val="000F055C"/>
    <w:rsid w:val="000F123A"/>
    <w:rsid w:val="000F1F84"/>
    <w:rsid w:val="000F59B6"/>
    <w:rsid w:val="000F664A"/>
    <w:rsid w:val="000F6E92"/>
    <w:rsid w:val="001059F2"/>
    <w:rsid w:val="00107E67"/>
    <w:rsid w:val="00110756"/>
    <w:rsid w:val="00112376"/>
    <w:rsid w:val="00121B11"/>
    <w:rsid w:val="00126A60"/>
    <w:rsid w:val="00126CFB"/>
    <w:rsid w:val="0012756F"/>
    <w:rsid w:val="00127CFB"/>
    <w:rsid w:val="00133D7B"/>
    <w:rsid w:val="00134284"/>
    <w:rsid w:val="0014187E"/>
    <w:rsid w:val="00141E2A"/>
    <w:rsid w:val="00145209"/>
    <w:rsid w:val="00150D63"/>
    <w:rsid w:val="00156AEB"/>
    <w:rsid w:val="001651CC"/>
    <w:rsid w:val="00176C32"/>
    <w:rsid w:val="00176D4E"/>
    <w:rsid w:val="00176DD7"/>
    <w:rsid w:val="00182591"/>
    <w:rsid w:val="001835A7"/>
    <w:rsid w:val="001920EF"/>
    <w:rsid w:val="00193A96"/>
    <w:rsid w:val="00193DEA"/>
    <w:rsid w:val="001962C5"/>
    <w:rsid w:val="0019665B"/>
    <w:rsid w:val="001A22A9"/>
    <w:rsid w:val="001A338C"/>
    <w:rsid w:val="001A570B"/>
    <w:rsid w:val="001A5F4D"/>
    <w:rsid w:val="001B6F6C"/>
    <w:rsid w:val="001C033D"/>
    <w:rsid w:val="001C2B0B"/>
    <w:rsid w:val="001C3A6E"/>
    <w:rsid w:val="001D0877"/>
    <w:rsid w:val="001D4AEA"/>
    <w:rsid w:val="001E2223"/>
    <w:rsid w:val="001E6C60"/>
    <w:rsid w:val="001F2213"/>
    <w:rsid w:val="001F529D"/>
    <w:rsid w:val="001F6C07"/>
    <w:rsid w:val="001F7F26"/>
    <w:rsid w:val="00201541"/>
    <w:rsid w:val="0020464A"/>
    <w:rsid w:val="002052B5"/>
    <w:rsid w:val="00206CBD"/>
    <w:rsid w:val="0021102A"/>
    <w:rsid w:val="002123DF"/>
    <w:rsid w:val="00217E89"/>
    <w:rsid w:val="002226A9"/>
    <w:rsid w:val="002226FA"/>
    <w:rsid w:val="00225A41"/>
    <w:rsid w:val="002307B0"/>
    <w:rsid w:val="00234796"/>
    <w:rsid w:val="002413C0"/>
    <w:rsid w:val="002419D5"/>
    <w:rsid w:val="00244584"/>
    <w:rsid w:val="00245A9F"/>
    <w:rsid w:val="00261D20"/>
    <w:rsid w:val="002639DE"/>
    <w:rsid w:val="00271A80"/>
    <w:rsid w:val="00275554"/>
    <w:rsid w:val="00276114"/>
    <w:rsid w:val="00276688"/>
    <w:rsid w:val="00277928"/>
    <w:rsid w:val="00281846"/>
    <w:rsid w:val="00290818"/>
    <w:rsid w:val="002939AA"/>
    <w:rsid w:val="0029677B"/>
    <w:rsid w:val="002A01E8"/>
    <w:rsid w:val="002A3085"/>
    <w:rsid w:val="002A369D"/>
    <w:rsid w:val="002A4EFA"/>
    <w:rsid w:val="002A6BAE"/>
    <w:rsid w:val="002A6BD1"/>
    <w:rsid w:val="002A7531"/>
    <w:rsid w:val="002B14C9"/>
    <w:rsid w:val="002B6C08"/>
    <w:rsid w:val="002B6D07"/>
    <w:rsid w:val="002C389F"/>
    <w:rsid w:val="002C61E0"/>
    <w:rsid w:val="002D72E4"/>
    <w:rsid w:val="002E2B47"/>
    <w:rsid w:val="002E30FD"/>
    <w:rsid w:val="002F0ED1"/>
    <w:rsid w:val="002F14A1"/>
    <w:rsid w:val="002F46C7"/>
    <w:rsid w:val="002F5B97"/>
    <w:rsid w:val="002F699B"/>
    <w:rsid w:val="00301D20"/>
    <w:rsid w:val="00301E50"/>
    <w:rsid w:val="003029BC"/>
    <w:rsid w:val="0030660B"/>
    <w:rsid w:val="00312C0E"/>
    <w:rsid w:val="00317849"/>
    <w:rsid w:val="00324B16"/>
    <w:rsid w:val="00330613"/>
    <w:rsid w:val="003337CC"/>
    <w:rsid w:val="00334744"/>
    <w:rsid w:val="00335994"/>
    <w:rsid w:val="003377F5"/>
    <w:rsid w:val="00345226"/>
    <w:rsid w:val="00350539"/>
    <w:rsid w:val="00362B83"/>
    <w:rsid w:val="003631E8"/>
    <w:rsid w:val="0036446B"/>
    <w:rsid w:val="00365C41"/>
    <w:rsid w:val="00367C3F"/>
    <w:rsid w:val="00372195"/>
    <w:rsid w:val="003757A1"/>
    <w:rsid w:val="00381825"/>
    <w:rsid w:val="00381FD7"/>
    <w:rsid w:val="00386F93"/>
    <w:rsid w:val="003903FD"/>
    <w:rsid w:val="0039380C"/>
    <w:rsid w:val="003A03E7"/>
    <w:rsid w:val="003A43C1"/>
    <w:rsid w:val="003B1236"/>
    <w:rsid w:val="003B2C27"/>
    <w:rsid w:val="003B48A8"/>
    <w:rsid w:val="003B6807"/>
    <w:rsid w:val="003C0704"/>
    <w:rsid w:val="003C1B97"/>
    <w:rsid w:val="003C28AA"/>
    <w:rsid w:val="003C62B5"/>
    <w:rsid w:val="003C69B2"/>
    <w:rsid w:val="003C792D"/>
    <w:rsid w:val="003D2681"/>
    <w:rsid w:val="003E435B"/>
    <w:rsid w:val="003E4CFB"/>
    <w:rsid w:val="003E5514"/>
    <w:rsid w:val="003F02B6"/>
    <w:rsid w:val="003F05F0"/>
    <w:rsid w:val="003F3201"/>
    <w:rsid w:val="003F39EA"/>
    <w:rsid w:val="003F7C81"/>
    <w:rsid w:val="00400B35"/>
    <w:rsid w:val="00400B50"/>
    <w:rsid w:val="004013B7"/>
    <w:rsid w:val="004031D8"/>
    <w:rsid w:val="004064C6"/>
    <w:rsid w:val="0041009D"/>
    <w:rsid w:val="004118BF"/>
    <w:rsid w:val="004151B3"/>
    <w:rsid w:val="004204C9"/>
    <w:rsid w:val="0042397A"/>
    <w:rsid w:val="00424536"/>
    <w:rsid w:val="004279E4"/>
    <w:rsid w:val="00434A27"/>
    <w:rsid w:val="004366DB"/>
    <w:rsid w:val="00436EE4"/>
    <w:rsid w:val="00437B6F"/>
    <w:rsid w:val="00445BA0"/>
    <w:rsid w:val="00446E1F"/>
    <w:rsid w:val="00450F54"/>
    <w:rsid w:val="00451ABB"/>
    <w:rsid w:val="0045274D"/>
    <w:rsid w:val="00455392"/>
    <w:rsid w:val="004610B7"/>
    <w:rsid w:val="00462D76"/>
    <w:rsid w:val="00463284"/>
    <w:rsid w:val="00464237"/>
    <w:rsid w:val="004672B6"/>
    <w:rsid w:val="00467D9B"/>
    <w:rsid w:val="00475CFE"/>
    <w:rsid w:val="00475FD4"/>
    <w:rsid w:val="00481414"/>
    <w:rsid w:val="004837C1"/>
    <w:rsid w:val="0048503C"/>
    <w:rsid w:val="00485082"/>
    <w:rsid w:val="004859B3"/>
    <w:rsid w:val="00487FA9"/>
    <w:rsid w:val="004A01FA"/>
    <w:rsid w:val="004A4EDB"/>
    <w:rsid w:val="004A703D"/>
    <w:rsid w:val="004B4A41"/>
    <w:rsid w:val="004B4F27"/>
    <w:rsid w:val="004C214D"/>
    <w:rsid w:val="004D232B"/>
    <w:rsid w:val="004D2FF4"/>
    <w:rsid w:val="004D2FF7"/>
    <w:rsid w:val="004E3A0C"/>
    <w:rsid w:val="004F22D4"/>
    <w:rsid w:val="004F5A9D"/>
    <w:rsid w:val="00505737"/>
    <w:rsid w:val="005100B4"/>
    <w:rsid w:val="0051580B"/>
    <w:rsid w:val="0051762F"/>
    <w:rsid w:val="00523190"/>
    <w:rsid w:val="00534B3C"/>
    <w:rsid w:val="00543D64"/>
    <w:rsid w:val="00544C48"/>
    <w:rsid w:val="00544D88"/>
    <w:rsid w:val="00547B52"/>
    <w:rsid w:val="0055007E"/>
    <w:rsid w:val="0056075A"/>
    <w:rsid w:val="0056787A"/>
    <w:rsid w:val="00576037"/>
    <w:rsid w:val="005838CE"/>
    <w:rsid w:val="00584817"/>
    <w:rsid w:val="00584905"/>
    <w:rsid w:val="0058565E"/>
    <w:rsid w:val="005879A4"/>
    <w:rsid w:val="00591898"/>
    <w:rsid w:val="005A23D8"/>
    <w:rsid w:val="005A4EC9"/>
    <w:rsid w:val="005C0394"/>
    <w:rsid w:val="005C0691"/>
    <w:rsid w:val="005C3D06"/>
    <w:rsid w:val="005C6557"/>
    <w:rsid w:val="005D1BE6"/>
    <w:rsid w:val="005D30A9"/>
    <w:rsid w:val="005E082C"/>
    <w:rsid w:val="005E244A"/>
    <w:rsid w:val="005E52C0"/>
    <w:rsid w:val="005E69C0"/>
    <w:rsid w:val="005F3650"/>
    <w:rsid w:val="005F673B"/>
    <w:rsid w:val="006049B7"/>
    <w:rsid w:val="00604D60"/>
    <w:rsid w:val="00610F14"/>
    <w:rsid w:val="00612DED"/>
    <w:rsid w:val="00612F78"/>
    <w:rsid w:val="0061484E"/>
    <w:rsid w:val="00616856"/>
    <w:rsid w:val="006178E2"/>
    <w:rsid w:val="00621EFD"/>
    <w:rsid w:val="00631408"/>
    <w:rsid w:val="00642F79"/>
    <w:rsid w:val="00650303"/>
    <w:rsid w:val="00655881"/>
    <w:rsid w:val="00656B13"/>
    <w:rsid w:val="0066240B"/>
    <w:rsid w:val="0066379B"/>
    <w:rsid w:val="0066511F"/>
    <w:rsid w:val="00670852"/>
    <w:rsid w:val="006718AF"/>
    <w:rsid w:val="00672506"/>
    <w:rsid w:val="0069104D"/>
    <w:rsid w:val="00691EC0"/>
    <w:rsid w:val="00691FF7"/>
    <w:rsid w:val="006940B9"/>
    <w:rsid w:val="00696282"/>
    <w:rsid w:val="0069773C"/>
    <w:rsid w:val="006A1844"/>
    <w:rsid w:val="006A7910"/>
    <w:rsid w:val="006B0BC4"/>
    <w:rsid w:val="006B193B"/>
    <w:rsid w:val="006B2DD2"/>
    <w:rsid w:val="006C14A3"/>
    <w:rsid w:val="006D1801"/>
    <w:rsid w:val="006D2EA7"/>
    <w:rsid w:val="006D4392"/>
    <w:rsid w:val="006D5AB5"/>
    <w:rsid w:val="006D782A"/>
    <w:rsid w:val="006E4B30"/>
    <w:rsid w:val="006F3F6C"/>
    <w:rsid w:val="006F4F9C"/>
    <w:rsid w:val="00705DA0"/>
    <w:rsid w:val="00707D63"/>
    <w:rsid w:val="007131E3"/>
    <w:rsid w:val="007136E5"/>
    <w:rsid w:val="007154CA"/>
    <w:rsid w:val="007169B1"/>
    <w:rsid w:val="007174CF"/>
    <w:rsid w:val="007206FB"/>
    <w:rsid w:val="00724EE5"/>
    <w:rsid w:val="007269F2"/>
    <w:rsid w:val="00733413"/>
    <w:rsid w:val="00743A4E"/>
    <w:rsid w:val="00743B02"/>
    <w:rsid w:val="0074439A"/>
    <w:rsid w:val="007450EA"/>
    <w:rsid w:val="007452C1"/>
    <w:rsid w:val="0074590E"/>
    <w:rsid w:val="0074609E"/>
    <w:rsid w:val="00747F9C"/>
    <w:rsid w:val="00761E97"/>
    <w:rsid w:val="00762973"/>
    <w:rsid w:val="00762B86"/>
    <w:rsid w:val="007668BC"/>
    <w:rsid w:val="007670C6"/>
    <w:rsid w:val="00774C23"/>
    <w:rsid w:val="007762A1"/>
    <w:rsid w:val="00782D83"/>
    <w:rsid w:val="00783432"/>
    <w:rsid w:val="007854A7"/>
    <w:rsid w:val="00785889"/>
    <w:rsid w:val="007A3FF2"/>
    <w:rsid w:val="007A6DFC"/>
    <w:rsid w:val="007A789D"/>
    <w:rsid w:val="007C0328"/>
    <w:rsid w:val="007C2126"/>
    <w:rsid w:val="007C3FC9"/>
    <w:rsid w:val="007C56C8"/>
    <w:rsid w:val="007C654E"/>
    <w:rsid w:val="007D3BD9"/>
    <w:rsid w:val="007D42BD"/>
    <w:rsid w:val="007D4C90"/>
    <w:rsid w:val="007E0EF7"/>
    <w:rsid w:val="007E7506"/>
    <w:rsid w:val="007F14CD"/>
    <w:rsid w:val="007F235F"/>
    <w:rsid w:val="007F27F9"/>
    <w:rsid w:val="007F35A1"/>
    <w:rsid w:val="007F4A78"/>
    <w:rsid w:val="008002ED"/>
    <w:rsid w:val="00800725"/>
    <w:rsid w:val="00811EC6"/>
    <w:rsid w:val="0081387A"/>
    <w:rsid w:val="00813A35"/>
    <w:rsid w:val="008154A2"/>
    <w:rsid w:val="0082221C"/>
    <w:rsid w:val="00827E4B"/>
    <w:rsid w:val="00831F37"/>
    <w:rsid w:val="00833727"/>
    <w:rsid w:val="00834466"/>
    <w:rsid w:val="00834E51"/>
    <w:rsid w:val="00841980"/>
    <w:rsid w:val="00843001"/>
    <w:rsid w:val="008463C0"/>
    <w:rsid w:val="00846A25"/>
    <w:rsid w:val="008539C6"/>
    <w:rsid w:val="0085702B"/>
    <w:rsid w:val="00861344"/>
    <w:rsid w:val="008629F7"/>
    <w:rsid w:val="0086453C"/>
    <w:rsid w:val="0088293E"/>
    <w:rsid w:val="008844ED"/>
    <w:rsid w:val="00885CB8"/>
    <w:rsid w:val="00894BC8"/>
    <w:rsid w:val="008A2287"/>
    <w:rsid w:val="008A26F7"/>
    <w:rsid w:val="008A47DF"/>
    <w:rsid w:val="008A54FA"/>
    <w:rsid w:val="008A5EAC"/>
    <w:rsid w:val="008A6E88"/>
    <w:rsid w:val="008C0701"/>
    <w:rsid w:val="008C20FA"/>
    <w:rsid w:val="008C4EC4"/>
    <w:rsid w:val="008D04BD"/>
    <w:rsid w:val="008D1CCE"/>
    <w:rsid w:val="008D2017"/>
    <w:rsid w:val="008E5DBC"/>
    <w:rsid w:val="009033D6"/>
    <w:rsid w:val="009102D4"/>
    <w:rsid w:val="00911485"/>
    <w:rsid w:val="00913F76"/>
    <w:rsid w:val="00917C49"/>
    <w:rsid w:val="00927AB7"/>
    <w:rsid w:val="00932F1E"/>
    <w:rsid w:val="00934185"/>
    <w:rsid w:val="0093606D"/>
    <w:rsid w:val="00936778"/>
    <w:rsid w:val="00937853"/>
    <w:rsid w:val="00941AFB"/>
    <w:rsid w:val="009429B7"/>
    <w:rsid w:val="00943D17"/>
    <w:rsid w:val="009463EB"/>
    <w:rsid w:val="009511BF"/>
    <w:rsid w:val="00952125"/>
    <w:rsid w:val="009532CC"/>
    <w:rsid w:val="00954779"/>
    <w:rsid w:val="00955FAF"/>
    <w:rsid w:val="009719EE"/>
    <w:rsid w:val="0097326A"/>
    <w:rsid w:val="0097557F"/>
    <w:rsid w:val="009763E6"/>
    <w:rsid w:val="009765BF"/>
    <w:rsid w:val="009770B6"/>
    <w:rsid w:val="00987E4E"/>
    <w:rsid w:val="00996993"/>
    <w:rsid w:val="009A0026"/>
    <w:rsid w:val="009A2230"/>
    <w:rsid w:val="009A51EB"/>
    <w:rsid w:val="009A58FB"/>
    <w:rsid w:val="009B4E0A"/>
    <w:rsid w:val="009B69EA"/>
    <w:rsid w:val="009B6F5F"/>
    <w:rsid w:val="009B7A08"/>
    <w:rsid w:val="009D5537"/>
    <w:rsid w:val="009E20D2"/>
    <w:rsid w:val="009E2556"/>
    <w:rsid w:val="009E3044"/>
    <w:rsid w:val="009E338A"/>
    <w:rsid w:val="009E78C6"/>
    <w:rsid w:val="009F4592"/>
    <w:rsid w:val="009F6962"/>
    <w:rsid w:val="00A05282"/>
    <w:rsid w:val="00A12518"/>
    <w:rsid w:val="00A12E1D"/>
    <w:rsid w:val="00A17A63"/>
    <w:rsid w:val="00A2207E"/>
    <w:rsid w:val="00A2325B"/>
    <w:rsid w:val="00A2360A"/>
    <w:rsid w:val="00A3349F"/>
    <w:rsid w:val="00A42E8C"/>
    <w:rsid w:val="00A46774"/>
    <w:rsid w:val="00A532CB"/>
    <w:rsid w:val="00A534BF"/>
    <w:rsid w:val="00A60F63"/>
    <w:rsid w:val="00A62DB0"/>
    <w:rsid w:val="00A66C31"/>
    <w:rsid w:val="00A674B7"/>
    <w:rsid w:val="00A7212F"/>
    <w:rsid w:val="00A72428"/>
    <w:rsid w:val="00A73867"/>
    <w:rsid w:val="00A748D1"/>
    <w:rsid w:val="00A847C5"/>
    <w:rsid w:val="00AA192E"/>
    <w:rsid w:val="00AA1D19"/>
    <w:rsid w:val="00AA3A73"/>
    <w:rsid w:val="00AA3D3D"/>
    <w:rsid w:val="00AA430B"/>
    <w:rsid w:val="00AC50F3"/>
    <w:rsid w:val="00AC530B"/>
    <w:rsid w:val="00AE0115"/>
    <w:rsid w:val="00AE4B27"/>
    <w:rsid w:val="00AF542A"/>
    <w:rsid w:val="00B012A0"/>
    <w:rsid w:val="00B023D5"/>
    <w:rsid w:val="00B0242C"/>
    <w:rsid w:val="00B059EA"/>
    <w:rsid w:val="00B118CF"/>
    <w:rsid w:val="00B22D26"/>
    <w:rsid w:val="00B24F78"/>
    <w:rsid w:val="00B25774"/>
    <w:rsid w:val="00B27BAE"/>
    <w:rsid w:val="00B317F2"/>
    <w:rsid w:val="00B32DEE"/>
    <w:rsid w:val="00B3499B"/>
    <w:rsid w:val="00B35FF7"/>
    <w:rsid w:val="00B37326"/>
    <w:rsid w:val="00B438C9"/>
    <w:rsid w:val="00B441A3"/>
    <w:rsid w:val="00B47812"/>
    <w:rsid w:val="00B52679"/>
    <w:rsid w:val="00B55C06"/>
    <w:rsid w:val="00B60D5B"/>
    <w:rsid w:val="00B667A7"/>
    <w:rsid w:val="00B704EA"/>
    <w:rsid w:val="00B7219F"/>
    <w:rsid w:val="00B7546C"/>
    <w:rsid w:val="00B75682"/>
    <w:rsid w:val="00B83170"/>
    <w:rsid w:val="00B832A8"/>
    <w:rsid w:val="00B95EA7"/>
    <w:rsid w:val="00B97896"/>
    <w:rsid w:val="00BB129E"/>
    <w:rsid w:val="00BB4AF9"/>
    <w:rsid w:val="00BB65EE"/>
    <w:rsid w:val="00BC066F"/>
    <w:rsid w:val="00BC3BAD"/>
    <w:rsid w:val="00BD3A5E"/>
    <w:rsid w:val="00BE2B47"/>
    <w:rsid w:val="00BF5DA6"/>
    <w:rsid w:val="00C0074A"/>
    <w:rsid w:val="00C14FFF"/>
    <w:rsid w:val="00C21117"/>
    <w:rsid w:val="00C2117E"/>
    <w:rsid w:val="00C24811"/>
    <w:rsid w:val="00C25BB2"/>
    <w:rsid w:val="00C27E36"/>
    <w:rsid w:val="00C30112"/>
    <w:rsid w:val="00C36328"/>
    <w:rsid w:val="00C3787D"/>
    <w:rsid w:val="00C421CC"/>
    <w:rsid w:val="00C437B9"/>
    <w:rsid w:val="00C462FE"/>
    <w:rsid w:val="00C475EC"/>
    <w:rsid w:val="00C50627"/>
    <w:rsid w:val="00C51DA7"/>
    <w:rsid w:val="00C601CB"/>
    <w:rsid w:val="00C6376B"/>
    <w:rsid w:val="00C639F3"/>
    <w:rsid w:val="00C64244"/>
    <w:rsid w:val="00C64EE5"/>
    <w:rsid w:val="00C65CBB"/>
    <w:rsid w:val="00C66FC4"/>
    <w:rsid w:val="00C710CF"/>
    <w:rsid w:val="00C71267"/>
    <w:rsid w:val="00C71738"/>
    <w:rsid w:val="00C75C7B"/>
    <w:rsid w:val="00C80E21"/>
    <w:rsid w:val="00C81448"/>
    <w:rsid w:val="00C8420B"/>
    <w:rsid w:val="00C90BCF"/>
    <w:rsid w:val="00C917B2"/>
    <w:rsid w:val="00C95950"/>
    <w:rsid w:val="00CA271A"/>
    <w:rsid w:val="00CA2B60"/>
    <w:rsid w:val="00CB0E66"/>
    <w:rsid w:val="00CB27D9"/>
    <w:rsid w:val="00CB6FBE"/>
    <w:rsid w:val="00CC059B"/>
    <w:rsid w:val="00CC6CE3"/>
    <w:rsid w:val="00CC7351"/>
    <w:rsid w:val="00CD38F1"/>
    <w:rsid w:val="00CD5417"/>
    <w:rsid w:val="00CE1D5F"/>
    <w:rsid w:val="00CE448A"/>
    <w:rsid w:val="00CE45AD"/>
    <w:rsid w:val="00CF4FC0"/>
    <w:rsid w:val="00D04950"/>
    <w:rsid w:val="00D06C11"/>
    <w:rsid w:val="00D12F29"/>
    <w:rsid w:val="00D13438"/>
    <w:rsid w:val="00D15F27"/>
    <w:rsid w:val="00D17C5A"/>
    <w:rsid w:val="00D2113B"/>
    <w:rsid w:val="00D226F1"/>
    <w:rsid w:val="00D26FDD"/>
    <w:rsid w:val="00D33B89"/>
    <w:rsid w:val="00D33EB0"/>
    <w:rsid w:val="00D37569"/>
    <w:rsid w:val="00D4116D"/>
    <w:rsid w:val="00D4510A"/>
    <w:rsid w:val="00D45546"/>
    <w:rsid w:val="00D54A59"/>
    <w:rsid w:val="00D55521"/>
    <w:rsid w:val="00D659CD"/>
    <w:rsid w:val="00D70C84"/>
    <w:rsid w:val="00D744FC"/>
    <w:rsid w:val="00D755D2"/>
    <w:rsid w:val="00D81E8E"/>
    <w:rsid w:val="00D84CC7"/>
    <w:rsid w:val="00D9246F"/>
    <w:rsid w:val="00D973B3"/>
    <w:rsid w:val="00DA1EC3"/>
    <w:rsid w:val="00DA574C"/>
    <w:rsid w:val="00DA5756"/>
    <w:rsid w:val="00DB3D51"/>
    <w:rsid w:val="00DB68D4"/>
    <w:rsid w:val="00DC0D7C"/>
    <w:rsid w:val="00DC4320"/>
    <w:rsid w:val="00DC56D3"/>
    <w:rsid w:val="00DC7523"/>
    <w:rsid w:val="00DD0094"/>
    <w:rsid w:val="00DD2D36"/>
    <w:rsid w:val="00DD4763"/>
    <w:rsid w:val="00DD49B2"/>
    <w:rsid w:val="00DD501E"/>
    <w:rsid w:val="00DF1972"/>
    <w:rsid w:val="00DF19B7"/>
    <w:rsid w:val="00DF5976"/>
    <w:rsid w:val="00E02EC0"/>
    <w:rsid w:val="00E040DA"/>
    <w:rsid w:val="00E061D5"/>
    <w:rsid w:val="00E06C28"/>
    <w:rsid w:val="00E15365"/>
    <w:rsid w:val="00E23A76"/>
    <w:rsid w:val="00E23E78"/>
    <w:rsid w:val="00E340AB"/>
    <w:rsid w:val="00E3508C"/>
    <w:rsid w:val="00E36739"/>
    <w:rsid w:val="00E36976"/>
    <w:rsid w:val="00E4040B"/>
    <w:rsid w:val="00E4191E"/>
    <w:rsid w:val="00E447D3"/>
    <w:rsid w:val="00E4665D"/>
    <w:rsid w:val="00E46BAF"/>
    <w:rsid w:val="00E50EAA"/>
    <w:rsid w:val="00E60F13"/>
    <w:rsid w:val="00E62B46"/>
    <w:rsid w:val="00E701E0"/>
    <w:rsid w:val="00E71563"/>
    <w:rsid w:val="00E837BC"/>
    <w:rsid w:val="00E838FC"/>
    <w:rsid w:val="00E845F8"/>
    <w:rsid w:val="00E86CFB"/>
    <w:rsid w:val="00E910FE"/>
    <w:rsid w:val="00E915A4"/>
    <w:rsid w:val="00E9160A"/>
    <w:rsid w:val="00E93651"/>
    <w:rsid w:val="00E94FC8"/>
    <w:rsid w:val="00E97338"/>
    <w:rsid w:val="00EA1304"/>
    <w:rsid w:val="00EA51CA"/>
    <w:rsid w:val="00EB0428"/>
    <w:rsid w:val="00EB3E53"/>
    <w:rsid w:val="00EB4648"/>
    <w:rsid w:val="00EB61C2"/>
    <w:rsid w:val="00EB6266"/>
    <w:rsid w:val="00EB7AEB"/>
    <w:rsid w:val="00EC18E1"/>
    <w:rsid w:val="00EC2C89"/>
    <w:rsid w:val="00EC4336"/>
    <w:rsid w:val="00EC4F62"/>
    <w:rsid w:val="00ED4A38"/>
    <w:rsid w:val="00EE11B8"/>
    <w:rsid w:val="00EE1472"/>
    <w:rsid w:val="00EE6A30"/>
    <w:rsid w:val="00EE716F"/>
    <w:rsid w:val="00EE7CD0"/>
    <w:rsid w:val="00EF28A4"/>
    <w:rsid w:val="00EF34A1"/>
    <w:rsid w:val="00F02E1A"/>
    <w:rsid w:val="00F035A6"/>
    <w:rsid w:val="00F04A98"/>
    <w:rsid w:val="00F056EB"/>
    <w:rsid w:val="00F060E0"/>
    <w:rsid w:val="00F0648B"/>
    <w:rsid w:val="00F06596"/>
    <w:rsid w:val="00F07936"/>
    <w:rsid w:val="00F07D32"/>
    <w:rsid w:val="00F13EF5"/>
    <w:rsid w:val="00F15159"/>
    <w:rsid w:val="00F15244"/>
    <w:rsid w:val="00F15CE7"/>
    <w:rsid w:val="00F2008C"/>
    <w:rsid w:val="00F25090"/>
    <w:rsid w:val="00F30CAD"/>
    <w:rsid w:val="00F40D8C"/>
    <w:rsid w:val="00F50708"/>
    <w:rsid w:val="00F5089D"/>
    <w:rsid w:val="00F554DD"/>
    <w:rsid w:val="00F57100"/>
    <w:rsid w:val="00F62411"/>
    <w:rsid w:val="00F637B0"/>
    <w:rsid w:val="00F66CF1"/>
    <w:rsid w:val="00F67770"/>
    <w:rsid w:val="00F82F2F"/>
    <w:rsid w:val="00F85874"/>
    <w:rsid w:val="00F86709"/>
    <w:rsid w:val="00F86CB7"/>
    <w:rsid w:val="00F908F1"/>
    <w:rsid w:val="00FA14A9"/>
    <w:rsid w:val="00FA3262"/>
    <w:rsid w:val="00FA4AD9"/>
    <w:rsid w:val="00FA5EDD"/>
    <w:rsid w:val="00FA702C"/>
    <w:rsid w:val="00FB05B5"/>
    <w:rsid w:val="00FB118B"/>
    <w:rsid w:val="00FB2D68"/>
    <w:rsid w:val="00FB30C3"/>
    <w:rsid w:val="00FB35FA"/>
    <w:rsid w:val="00FC6F18"/>
    <w:rsid w:val="00FC78FA"/>
    <w:rsid w:val="00FD0CA0"/>
    <w:rsid w:val="00FD1ABC"/>
    <w:rsid w:val="00FD7E61"/>
    <w:rsid w:val="00FE0836"/>
    <w:rsid w:val="00FE16F5"/>
    <w:rsid w:val="00FE3A9A"/>
    <w:rsid w:val="00FE4093"/>
    <w:rsid w:val="00FF63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4AB85F-1479-456E-95A4-D3714D94C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E716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9E255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E2556"/>
    <w:rPr>
      <w:sz w:val="20"/>
      <w:szCs w:val="20"/>
    </w:rPr>
  </w:style>
  <w:style w:type="character" w:styleId="Rimandonotaapidipagina">
    <w:name w:val="footnote reference"/>
    <w:basedOn w:val="Carpredefinitoparagrafo"/>
    <w:uiPriority w:val="99"/>
    <w:unhideWhenUsed/>
    <w:rsid w:val="009E2556"/>
    <w:rPr>
      <w:vertAlign w:val="superscript"/>
    </w:rPr>
  </w:style>
  <w:style w:type="paragraph" w:styleId="Paragrafoelenco">
    <w:name w:val="List Paragraph"/>
    <w:basedOn w:val="Normale"/>
    <w:uiPriority w:val="34"/>
    <w:qFormat/>
    <w:rsid w:val="00072E23"/>
    <w:pPr>
      <w:ind w:left="720"/>
      <w:contextualSpacing/>
    </w:pPr>
  </w:style>
  <w:style w:type="paragraph" w:customStyle="1" w:styleId="popolo">
    <w:name w:val="popolo"/>
    <w:basedOn w:val="Normale"/>
    <w:rsid w:val="00CB27D9"/>
    <w:pPr>
      <w:spacing w:after="0" w:line="520" w:lineRule="atLeast"/>
      <w:jc w:val="both"/>
    </w:pPr>
    <w:rPr>
      <w:rFonts w:ascii="Garamond" w:eastAsia="Times New Roman" w:hAnsi="Garamond"/>
      <w:sz w:val="30"/>
      <w:szCs w:val="30"/>
      <w:lang w:eastAsia="it-IT"/>
    </w:rPr>
  </w:style>
  <w:style w:type="paragraph" w:customStyle="1" w:styleId="registri">
    <w:name w:val="registri"/>
    <w:basedOn w:val="Normale"/>
    <w:rsid w:val="006178E2"/>
    <w:pPr>
      <w:spacing w:before="100" w:beforeAutospacing="1" w:after="100" w:afterAutospacing="1" w:line="240" w:lineRule="auto"/>
    </w:pPr>
    <w:rPr>
      <w:rFonts w:eastAsia="Times New Roman"/>
      <w:sz w:val="24"/>
      <w:szCs w:val="24"/>
      <w:lang w:eastAsia="it-IT"/>
    </w:rPr>
  </w:style>
  <w:style w:type="character" w:styleId="Testosegnaposto">
    <w:name w:val="Placeholder Text"/>
    <w:basedOn w:val="Carpredefinitoparagrafo"/>
    <w:uiPriority w:val="99"/>
    <w:semiHidden/>
    <w:rsid w:val="0074609E"/>
    <w:rPr>
      <w:color w:val="808080"/>
    </w:rPr>
  </w:style>
  <w:style w:type="paragraph" w:styleId="Testofumetto">
    <w:name w:val="Balloon Text"/>
    <w:basedOn w:val="Normale"/>
    <w:link w:val="TestofumettoCarattere"/>
    <w:uiPriority w:val="99"/>
    <w:semiHidden/>
    <w:unhideWhenUsed/>
    <w:rsid w:val="007460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4609E"/>
    <w:rPr>
      <w:rFonts w:ascii="Tahoma" w:hAnsi="Tahoma" w:cs="Tahoma"/>
      <w:sz w:val="16"/>
      <w:szCs w:val="16"/>
    </w:rPr>
  </w:style>
  <w:style w:type="paragraph" w:styleId="Intestazione">
    <w:name w:val="header"/>
    <w:basedOn w:val="Normale"/>
    <w:link w:val="IntestazioneCarattere"/>
    <w:uiPriority w:val="99"/>
    <w:semiHidden/>
    <w:unhideWhenUsed/>
    <w:rsid w:val="00156AE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156AEB"/>
  </w:style>
  <w:style w:type="paragraph" w:styleId="Pidipagina">
    <w:name w:val="footer"/>
    <w:basedOn w:val="Normale"/>
    <w:link w:val="PidipaginaCarattere"/>
    <w:uiPriority w:val="99"/>
    <w:unhideWhenUsed/>
    <w:rsid w:val="00156AE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56AEB"/>
  </w:style>
  <w:style w:type="paragraph" w:customStyle="1" w:styleId="Titolocapitolo">
    <w:name w:val="Titolo capitolo"/>
    <w:rsid w:val="004013B7"/>
    <w:pPr>
      <w:spacing w:before="1040" w:after="140" w:line="420" w:lineRule="exact"/>
    </w:pPr>
    <w:rPr>
      <w:rFonts w:ascii="Arial" w:eastAsia="Times New Roman" w:hAnsi="Arial"/>
      <w:b/>
      <w:color w:val="974726"/>
      <w:sz w:val="36"/>
      <w:szCs w:val="40"/>
      <w:lang w:eastAsia="it-IT"/>
    </w:rPr>
  </w:style>
  <w:style w:type="paragraph" w:customStyle="1" w:styleId="Sommario">
    <w:name w:val="Sommario"/>
    <w:rsid w:val="00913F76"/>
    <w:pPr>
      <w:spacing w:before="536" w:after="768" w:line="205" w:lineRule="exact"/>
      <w:ind w:left="284" w:hanging="284"/>
      <w:jc w:val="both"/>
    </w:pPr>
    <w:rPr>
      <w:rFonts w:ascii="Arial" w:eastAsia="Times New Roman" w:hAnsi="Arial"/>
      <w:sz w:val="18"/>
      <w:szCs w:val="20"/>
      <w:lang w:eastAsia="it-IT"/>
    </w:rPr>
  </w:style>
  <w:style w:type="paragraph" w:customStyle="1" w:styleId="maiuscoletto">
    <w:name w:val="maiuscoletto"/>
    <w:basedOn w:val="Testonotaapidipagina"/>
    <w:link w:val="maiuscolettoCarattere"/>
    <w:qFormat/>
    <w:rsid w:val="00B832A8"/>
    <w:pPr>
      <w:spacing w:before="60" w:line="205" w:lineRule="exact"/>
      <w:ind w:firstLine="284"/>
      <w:jc w:val="both"/>
    </w:pPr>
    <w:rPr>
      <w:rFonts w:ascii="Arial" w:hAnsi="Arial" w:cs="Arial"/>
      <w:sz w:val="18"/>
      <w:szCs w:val="18"/>
    </w:rPr>
  </w:style>
  <w:style w:type="character" w:styleId="Collegamentoipertestuale">
    <w:name w:val="Hyperlink"/>
    <w:basedOn w:val="Carpredefinitoparagrafo"/>
    <w:uiPriority w:val="99"/>
    <w:unhideWhenUsed/>
    <w:rsid w:val="00487FA9"/>
    <w:rPr>
      <w:color w:val="0000FF" w:themeColor="hyperlink"/>
      <w:u w:val="single"/>
    </w:rPr>
  </w:style>
  <w:style w:type="character" w:customStyle="1" w:styleId="maiuscolettoCarattere">
    <w:name w:val="maiuscoletto Carattere"/>
    <w:basedOn w:val="TestonotaapidipaginaCarattere"/>
    <w:link w:val="maiuscoletto"/>
    <w:rsid w:val="00B832A8"/>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847658">
      <w:bodyDiv w:val="1"/>
      <w:marLeft w:val="0"/>
      <w:marRight w:val="0"/>
      <w:marTop w:val="0"/>
      <w:marBottom w:val="0"/>
      <w:divBdr>
        <w:top w:val="none" w:sz="0" w:space="0" w:color="auto"/>
        <w:left w:val="none" w:sz="0" w:space="0" w:color="auto"/>
        <w:bottom w:val="none" w:sz="0" w:space="0" w:color="auto"/>
        <w:right w:val="none" w:sz="0" w:space="0" w:color="auto"/>
      </w:divBdr>
      <w:divsChild>
        <w:div w:id="745423243">
          <w:marLeft w:val="0"/>
          <w:marRight w:val="0"/>
          <w:marTop w:val="0"/>
          <w:marBottom w:val="0"/>
          <w:divBdr>
            <w:top w:val="none" w:sz="0" w:space="0" w:color="auto"/>
            <w:left w:val="none" w:sz="0" w:space="0" w:color="auto"/>
            <w:bottom w:val="none" w:sz="0" w:space="0" w:color="auto"/>
            <w:right w:val="none" w:sz="0" w:space="0" w:color="auto"/>
          </w:divBdr>
          <w:divsChild>
            <w:div w:id="1762023888">
              <w:marLeft w:val="0"/>
              <w:marRight w:val="0"/>
              <w:marTop w:val="0"/>
              <w:marBottom w:val="0"/>
              <w:divBdr>
                <w:top w:val="none" w:sz="0" w:space="0" w:color="auto"/>
                <w:left w:val="none" w:sz="0" w:space="0" w:color="auto"/>
                <w:bottom w:val="none" w:sz="0" w:space="0" w:color="auto"/>
                <w:right w:val="none" w:sz="0" w:space="0" w:color="auto"/>
              </w:divBdr>
              <w:divsChild>
                <w:div w:id="18101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277464">
      <w:bodyDiv w:val="1"/>
      <w:marLeft w:val="851"/>
      <w:marRight w:val="851"/>
      <w:marTop w:val="1134"/>
      <w:marBottom w:val="567"/>
      <w:divBdr>
        <w:top w:val="none" w:sz="0" w:space="0" w:color="auto"/>
        <w:left w:val="none" w:sz="0" w:space="0" w:color="auto"/>
        <w:bottom w:val="none" w:sz="0" w:space="0" w:color="auto"/>
        <w:right w:val="none" w:sz="0" w:space="0" w:color="auto"/>
      </w:divBdr>
    </w:div>
    <w:div w:id="1714038090">
      <w:bodyDiv w:val="1"/>
      <w:marLeft w:val="0"/>
      <w:marRight w:val="0"/>
      <w:marTop w:val="0"/>
      <w:marBottom w:val="0"/>
      <w:divBdr>
        <w:top w:val="none" w:sz="0" w:space="0" w:color="auto"/>
        <w:left w:val="none" w:sz="0" w:space="0" w:color="auto"/>
        <w:bottom w:val="none" w:sz="0" w:space="0" w:color="auto"/>
        <w:right w:val="none" w:sz="0" w:space="0" w:color="auto"/>
      </w:divBdr>
      <w:divsChild>
        <w:div w:id="2055156859">
          <w:marLeft w:val="0"/>
          <w:marRight w:val="0"/>
          <w:marTop w:val="0"/>
          <w:marBottom w:val="0"/>
          <w:divBdr>
            <w:top w:val="none" w:sz="0" w:space="0" w:color="auto"/>
            <w:left w:val="none" w:sz="0" w:space="0" w:color="auto"/>
            <w:bottom w:val="none" w:sz="0" w:space="0" w:color="auto"/>
            <w:right w:val="none" w:sz="0" w:space="0" w:color="auto"/>
          </w:divBdr>
          <w:divsChild>
            <w:div w:id="1244996860">
              <w:marLeft w:val="0"/>
              <w:marRight w:val="0"/>
              <w:marTop w:val="0"/>
              <w:marBottom w:val="0"/>
              <w:divBdr>
                <w:top w:val="none" w:sz="0" w:space="0" w:color="auto"/>
                <w:left w:val="none" w:sz="0" w:space="0" w:color="auto"/>
                <w:bottom w:val="none" w:sz="0" w:space="0" w:color="auto"/>
                <w:right w:val="none" w:sz="0" w:space="0" w:color="auto"/>
              </w:divBdr>
              <w:divsChild>
                <w:div w:id="93317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A5E45E-2ED9-4F50-A62B-F9579032B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5045</Words>
  <Characters>28760</Characters>
  <Application>Microsoft Office Word</Application>
  <DocSecurity>0</DocSecurity>
  <Lines>239</Lines>
  <Paragraphs>67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 Mariani</dc:creator>
  <cp:lastModifiedBy>isa isa</cp:lastModifiedBy>
  <cp:revision>2</cp:revision>
  <cp:lastPrinted>2015-05-11T07:30:00Z</cp:lastPrinted>
  <dcterms:created xsi:type="dcterms:W3CDTF">2016-09-27T08:19:00Z</dcterms:created>
  <dcterms:modified xsi:type="dcterms:W3CDTF">2016-09-27T08:19:00Z</dcterms:modified>
</cp:coreProperties>
</file>