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2B97" w:rsidRDefault="00A92B97" w:rsidP="00A92B97">
      <w:pPr>
        <w:pStyle w:val="CDCOAuthors"/>
        <w:rPr>
          <w:rFonts w:eastAsia="Times New Roman" w:cs="Times New Roman"/>
          <w:i/>
          <w:sz w:val="24"/>
          <w:szCs w:val="24"/>
          <w:u w:val="single"/>
        </w:rPr>
      </w:pPr>
      <w:r w:rsidRPr="00F4420D">
        <w:rPr>
          <w:rFonts w:eastAsia="Times New Roman" w:cs="Times New Roman"/>
          <w:b/>
          <w:bCs/>
          <w:kern w:val="28"/>
          <w:sz w:val="24"/>
          <w:szCs w:val="24"/>
          <w:lang w:val="en-GB"/>
        </w:rPr>
        <w:t>Study on the impact of Toll-like Receptor 4 (TLR4) modulation in rare inflammatory-fibrotic diseases</w:t>
      </w:r>
      <w:r>
        <w:rPr>
          <w:rFonts w:eastAsia="Times New Roman" w:cs="Times New Roman"/>
          <w:i/>
          <w:sz w:val="24"/>
          <w:szCs w:val="24"/>
          <w:u w:val="single"/>
        </w:rPr>
        <w:t xml:space="preserve"> </w:t>
      </w:r>
    </w:p>
    <w:p w:rsidR="00A92B97" w:rsidRPr="00F4420D" w:rsidRDefault="00A92B97" w:rsidP="00A92B97">
      <w:pPr>
        <w:spacing w:after="240" w:line="240" w:lineRule="auto"/>
        <w:jc w:val="center"/>
        <w:rPr>
          <w:rFonts w:ascii="Times New Roman" w:eastAsia="Times New Roman" w:hAnsi="Times New Roman" w:cs="Times New Roman"/>
          <w:i/>
          <w:sz w:val="20"/>
          <w:szCs w:val="20"/>
        </w:rPr>
      </w:pPr>
      <w:r w:rsidRPr="00F4420D">
        <w:rPr>
          <w:rFonts w:ascii="Times New Roman" w:eastAsia="Times New Roman" w:hAnsi="Times New Roman" w:cs="Times New Roman"/>
          <w:i/>
          <w:sz w:val="20"/>
          <w:szCs w:val="20"/>
          <w:u w:val="single"/>
        </w:rPr>
        <w:t xml:space="preserve">A. Italia </w:t>
      </w:r>
      <w:r w:rsidRPr="00F4420D">
        <w:rPr>
          <w:rFonts w:ascii="Times New Roman" w:eastAsia="Times New Roman" w:hAnsi="Times New Roman" w:cs="Times New Roman"/>
          <w:i/>
          <w:sz w:val="20"/>
          <w:szCs w:val="20"/>
          <w:u w:val="single"/>
          <w:vertAlign w:val="superscript"/>
        </w:rPr>
        <w:t>a</w:t>
      </w:r>
      <w:r w:rsidRPr="00F4420D">
        <w:rPr>
          <w:rFonts w:ascii="Times New Roman" w:eastAsia="Times New Roman" w:hAnsi="Times New Roman" w:cs="Times New Roman"/>
          <w:i/>
          <w:sz w:val="20"/>
          <w:szCs w:val="20"/>
        </w:rPr>
        <w:t xml:space="preserve">, A.R. Franco </w:t>
      </w:r>
      <w:r w:rsidRPr="00F4420D">
        <w:rPr>
          <w:rFonts w:ascii="Times New Roman" w:eastAsia="Times New Roman" w:hAnsi="Times New Roman" w:cs="Times New Roman"/>
          <w:i/>
          <w:sz w:val="20"/>
          <w:szCs w:val="20"/>
          <w:vertAlign w:val="superscript"/>
        </w:rPr>
        <w:t>a</w:t>
      </w:r>
      <w:r w:rsidRPr="00F4420D">
        <w:rPr>
          <w:rFonts w:ascii="Times New Roman" w:eastAsia="Times New Roman" w:hAnsi="Times New Roman" w:cs="Times New Roman"/>
          <w:i/>
          <w:sz w:val="20"/>
          <w:szCs w:val="20"/>
        </w:rPr>
        <w:t xml:space="preserve">, </w:t>
      </w:r>
      <w:r w:rsidRPr="00F4420D">
        <w:rPr>
          <w:rFonts w:ascii="Times New Roman" w:eastAsia="Century Gothic" w:hAnsi="Times New Roman" w:cs="Times New Roman"/>
          <w:i/>
          <w:sz w:val="20"/>
          <w:szCs w:val="20"/>
        </w:rPr>
        <w:t xml:space="preserve">M. M. </w:t>
      </w:r>
      <w:proofErr w:type="spellStart"/>
      <w:r w:rsidRPr="00F4420D">
        <w:rPr>
          <w:rFonts w:ascii="Times New Roman" w:eastAsia="Century Gothic" w:hAnsi="Times New Roman" w:cs="Times New Roman"/>
          <w:i/>
          <w:sz w:val="20"/>
          <w:szCs w:val="20"/>
        </w:rPr>
        <w:t>Shaik</w:t>
      </w:r>
      <w:proofErr w:type="spellEnd"/>
      <w:r w:rsidRPr="00F4420D">
        <w:rPr>
          <w:rFonts w:ascii="Times New Roman" w:eastAsia="Times New Roman" w:hAnsi="Times New Roman" w:cs="Times New Roman"/>
          <w:i/>
          <w:sz w:val="20"/>
          <w:szCs w:val="20"/>
        </w:rPr>
        <w:t xml:space="preserve"> </w:t>
      </w:r>
      <w:r w:rsidRPr="00F4420D">
        <w:rPr>
          <w:rFonts w:ascii="Times New Roman" w:eastAsia="Times New Roman" w:hAnsi="Times New Roman" w:cs="Times New Roman"/>
          <w:i/>
          <w:sz w:val="20"/>
          <w:szCs w:val="20"/>
          <w:vertAlign w:val="superscript"/>
        </w:rPr>
        <w:t>a</w:t>
      </w:r>
      <w:r w:rsidRPr="00F4420D">
        <w:rPr>
          <w:rFonts w:ascii="Times New Roman" w:eastAsia="Times New Roman" w:hAnsi="Times New Roman" w:cs="Times New Roman"/>
          <w:i/>
          <w:sz w:val="20"/>
          <w:szCs w:val="20"/>
        </w:rPr>
        <w:t xml:space="preserve">, </w:t>
      </w:r>
      <w:r w:rsidRPr="00F4420D">
        <w:rPr>
          <w:rFonts w:ascii="Times New Roman" w:eastAsia="Century Gothic" w:hAnsi="Times New Roman" w:cs="Times New Roman"/>
          <w:i/>
          <w:sz w:val="20"/>
          <w:szCs w:val="20"/>
        </w:rPr>
        <w:t xml:space="preserve">A. </w:t>
      </w:r>
      <w:proofErr w:type="spellStart"/>
      <w:r w:rsidRPr="00F4420D">
        <w:rPr>
          <w:rFonts w:ascii="Times New Roman" w:eastAsia="Century Gothic" w:hAnsi="Times New Roman" w:cs="Times New Roman"/>
          <w:i/>
          <w:sz w:val="20"/>
          <w:szCs w:val="20"/>
        </w:rPr>
        <w:t>Romerio</w:t>
      </w:r>
      <w:r w:rsidRPr="00F4420D">
        <w:rPr>
          <w:rFonts w:ascii="Times New Roman" w:eastAsia="Times New Roman" w:hAnsi="Times New Roman" w:cs="Times New Roman"/>
          <w:i/>
          <w:sz w:val="20"/>
          <w:szCs w:val="20"/>
          <w:vertAlign w:val="superscript"/>
        </w:rPr>
        <w:t>a</w:t>
      </w:r>
      <w:proofErr w:type="spellEnd"/>
      <w:r w:rsidRPr="00F4420D">
        <w:rPr>
          <w:rFonts w:ascii="Times New Roman" w:eastAsia="Times New Roman" w:hAnsi="Times New Roman" w:cs="Times New Roman"/>
          <w:i/>
          <w:sz w:val="20"/>
          <w:szCs w:val="20"/>
        </w:rPr>
        <w:t>,</w:t>
      </w:r>
      <w:r w:rsidRPr="00F4420D">
        <w:rPr>
          <w:rFonts w:ascii="Times New Roman" w:eastAsia="Century Gothic" w:hAnsi="Times New Roman" w:cs="Times New Roman"/>
          <w:i/>
          <w:sz w:val="20"/>
          <w:szCs w:val="20"/>
        </w:rPr>
        <w:t xml:space="preserve"> F. Lami</w:t>
      </w:r>
      <w:r w:rsidRPr="00F4420D">
        <w:rPr>
          <w:rFonts w:ascii="Times New Roman" w:eastAsia="Times New Roman" w:hAnsi="Times New Roman" w:cs="Times New Roman"/>
          <w:i/>
          <w:sz w:val="20"/>
          <w:szCs w:val="20"/>
        </w:rPr>
        <w:t xml:space="preserve"> </w:t>
      </w:r>
      <w:r w:rsidRPr="00F4420D">
        <w:rPr>
          <w:rFonts w:ascii="Times New Roman" w:eastAsia="Times New Roman" w:hAnsi="Times New Roman" w:cs="Times New Roman"/>
          <w:i/>
          <w:sz w:val="20"/>
          <w:szCs w:val="20"/>
          <w:vertAlign w:val="superscript"/>
        </w:rPr>
        <w:t>a</w:t>
      </w:r>
      <w:r w:rsidRPr="00F4420D">
        <w:rPr>
          <w:rFonts w:ascii="Times New Roman" w:eastAsia="Times New Roman" w:hAnsi="Times New Roman" w:cs="Times New Roman"/>
          <w:i/>
          <w:sz w:val="20"/>
          <w:szCs w:val="20"/>
        </w:rPr>
        <w:t>, S. Lovisa</w:t>
      </w:r>
      <w:r w:rsidRPr="00F4420D">
        <w:rPr>
          <w:rFonts w:ascii="Times New Roman" w:eastAsia="Times New Roman" w:hAnsi="Times New Roman" w:cs="Times New Roman"/>
          <w:i/>
          <w:sz w:val="20"/>
          <w:szCs w:val="20"/>
          <w:vertAlign w:val="superscript"/>
        </w:rPr>
        <w:t xml:space="preserve"> b</w:t>
      </w:r>
      <w:r w:rsidRPr="00F4420D">
        <w:rPr>
          <w:rFonts w:ascii="Times New Roman" w:eastAsia="Times New Roman" w:hAnsi="Times New Roman" w:cs="Times New Roman"/>
          <w:i/>
          <w:sz w:val="20"/>
          <w:szCs w:val="20"/>
        </w:rPr>
        <w:t xml:space="preserve">, F. Peri </w:t>
      </w:r>
      <w:r w:rsidRPr="00F4420D">
        <w:rPr>
          <w:rFonts w:ascii="Times New Roman" w:eastAsia="Times New Roman" w:hAnsi="Times New Roman" w:cs="Times New Roman"/>
          <w:i/>
          <w:sz w:val="20"/>
          <w:szCs w:val="20"/>
          <w:vertAlign w:val="superscript"/>
        </w:rPr>
        <w:t>a</w:t>
      </w:r>
      <w:r w:rsidRPr="00F4420D">
        <w:rPr>
          <w:rFonts w:ascii="Times New Roman" w:eastAsia="Times New Roman" w:hAnsi="Times New Roman" w:cs="Times New Roman"/>
          <w:i/>
          <w:sz w:val="20"/>
          <w:szCs w:val="20"/>
        </w:rPr>
        <w:t xml:space="preserve">, B.S. Costa </w:t>
      </w:r>
      <w:r w:rsidRPr="00F4420D">
        <w:rPr>
          <w:rFonts w:ascii="Times New Roman" w:eastAsia="Times New Roman" w:hAnsi="Times New Roman" w:cs="Times New Roman"/>
          <w:i/>
          <w:sz w:val="20"/>
          <w:szCs w:val="20"/>
          <w:vertAlign w:val="superscript"/>
        </w:rPr>
        <w:t>a</w:t>
      </w:r>
    </w:p>
    <w:p w:rsidR="00A92B97" w:rsidRDefault="00A92B97" w:rsidP="00A92B97">
      <w:pPr>
        <w:spacing w:after="0"/>
        <w:ind w:hanging="2"/>
        <w:jc w:val="center"/>
        <w:rPr>
          <w:rFonts w:ascii="Times New Roman" w:hAnsi="Times New Roman" w:cs="Times New Roman"/>
          <w:i/>
          <w:iCs/>
          <w:color w:val="000000"/>
          <w:sz w:val="20"/>
          <w:szCs w:val="20"/>
          <w:lang w:val="en-US"/>
        </w:rPr>
      </w:pPr>
      <w:proofErr w:type="gramStart"/>
      <w:r w:rsidRPr="00F4420D">
        <w:rPr>
          <w:rFonts w:ascii="Times New Roman" w:eastAsia="Times New Roman" w:hAnsi="Times New Roman" w:cs="Times New Roman"/>
          <w:i/>
          <w:sz w:val="20"/>
          <w:szCs w:val="20"/>
          <w:vertAlign w:val="superscript"/>
          <w:lang w:val="en-US"/>
        </w:rPr>
        <w:t>a</w:t>
      </w:r>
      <w:proofErr w:type="gramEnd"/>
      <w:r w:rsidRPr="00F4420D">
        <w:rPr>
          <w:rFonts w:ascii="Times New Roman" w:eastAsia="Times New Roman" w:hAnsi="Times New Roman" w:cs="Times New Roman"/>
          <w:i/>
          <w:sz w:val="20"/>
          <w:szCs w:val="20"/>
          <w:vertAlign w:val="superscript"/>
          <w:lang w:val="en-US"/>
        </w:rPr>
        <w:t xml:space="preserve"> </w:t>
      </w:r>
      <w:r w:rsidRPr="00F4420D">
        <w:rPr>
          <w:rFonts w:ascii="Times New Roman" w:hAnsi="Times New Roman" w:cs="Times New Roman"/>
          <w:i/>
          <w:iCs/>
          <w:color w:val="000000"/>
          <w:sz w:val="20"/>
          <w:szCs w:val="20"/>
          <w:lang w:val="en-US"/>
        </w:rPr>
        <w:t xml:space="preserve">Department of Biotechnology and Biosciences, University of Milano-Bicocca, Piazza </w:t>
      </w:r>
      <w:proofErr w:type="spellStart"/>
      <w:r w:rsidRPr="00F4420D">
        <w:rPr>
          <w:rFonts w:ascii="Times New Roman" w:hAnsi="Times New Roman" w:cs="Times New Roman"/>
          <w:i/>
          <w:iCs/>
          <w:color w:val="000000"/>
          <w:sz w:val="20"/>
          <w:szCs w:val="20"/>
          <w:lang w:val="en-US"/>
        </w:rPr>
        <w:t>della</w:t>
      </w:r>
      <w:proofErr w:type="spellEnd"/>
      <w:r w:rsidRPr="00F4420D">
        <w:rPr>
          <w:rFonts w:ascii="Times New Roman" w:hAnsi="Times New Roman" w:cs="Times New Roman"/>
          <w:i/>
          <w:iCs/>
          <w:color w:val="000000"/>
          <w:sz w:val="20"/>
          <w:szCs w:val="20"/>
          <w:lang w:val="en-US"/>
        </w:rPr>
        <w:t xml:space="preserve"> </w:t>
      </w:r>
      <w:proofErr w:type="spellStart"/>
      <w:r w:rsidRPr="00F4420D">
        <w:rPr>
          <w:rFonts w:ascii="Times New Roman" w:hAnsi="Times New Roman" w:cs="Times New Roman"/>
          <w:i/>
          <w:iCs/>
          <w:color w:val="000000"/>
          <w:sz w:val="20"/>
          <w:szCs w:val="20"/>
          <w:lang w:val="en-US"/>
        </w:rPr>
        <w:t>Scienza</w:t>
      </w:r>
      <w:proofErr w:type="spellEnd"/>
      <w:r w:rsidRPr="00F4420D">
        <w:rPr>
          <w:rFonts w:ascii="Times New Roman" w:hAnsi="Times New Roman" w:cs="Times New Roman"/>
          <w:i/>
          <w:iCs/>
          <w:color w:val="000000"/>
          <w:sz w:val="20"/>
          <w:szCs w:val="20"/>
          <w:lang w:val="en-US"/>
        </w:rPr>
        <w:t xml:space="preserve"> (MI);</w:t>
      </w:r>
    </w:p>
    <w:p w:rsidR="00A92B97" w:rsidRPr="00F4420D" w:rsidRDefault="00A92B97" w:rsidP="00A92B97">
      <w:pPr>
        <w:spacing w:after="0"/>
        <w:ind w:hanging="2"/>
        <w:jc w:val="center"/>
        <w:rPr>
          <w:rFonts w:ascii="Times New Roman" w:eastAsia="Century Gothic" w:hAnsi="Times New Roman" w:cs="Times New Roman"/>
          <w:sz w:val="20"/>
          <w:szCs w:val="20"/>
          <w:lang w:val="en-US"/>
        </w:rPr>
      </w:pPr>
      <w:r w:rsidRPr="00F4420D">
        <w:rPr>
          <w:rFonts w:ascii="Times New Roman" w:eastAsia="Times New Roman" w:hAnsi="Times New Roman" w:cs="Times New Roman"/>
          <w:i/>
          <w:sz w:val="20"/>
          <w:szCs w:val="20"/>
          <w:lang w:val="en-US"/>
        </w:rPr>
        <w:t xml:space="preserve"> </w:t>
      </w:r>
      <w:proofErr w:type="gramStart"/>
      <w:r w:rsidRPr="00F4420D">
        <w:rPr>
          <w:rFonts w:ascii="Times New Roman" w:eastAsia="Times New Roman" w:hAnsi="Times New Roman" w:cs="Times New Roman"/>
          <w:i/>
          <w:sz w:val="20"/>
          <w:szCs w:val="20"/>
          <w:vertAlign w:val="superscript"/>
          <w:lang w:val="en-US"/>
        </w:rPr>
        <w:t>b</w:t>
      </w:r>
      <w:proofErr w:type="gramEnd"/>
      <w:r w:rsidRPr="00F4420D">
        <w:rPr>
          <w:rFonts w:ascii="Arial" w:hAnsi="Arial" w:cs="Arial"/>
          <w:color w:val="333333"/>
          <w:sz w:val="20"/>
          <w:szCs w:val="20"/>
          <w:lang w:val="en-US"/>
        </w:rPr>
        <w:t xml:space="preserve"> </w:t>
      </w:r>
      <w:r w:rsidRPr="00F4420D">
        <w:rPr>
          <w:rFonts w:ascii="Times New Roman" w:hAnsi="Times New Roman" w:cs="Times New Roman"/>
          <w:i/>
          <w:color w:val="333333"/>
          <w:sz w:val="20"/>
          <w:szCs w:val="20"/>
          <w:lang w:val="en-US"/>
        </w:rPr>
        <w:t xml:space="preserve">BLDG E, </w:t>
      </w:r>
      <w:proofErr w:type="spellStart"/>
      <w:r w:rsidRPr="00F4420D">
        <w:rPr>
          <w:rFonts w:ascii="Times New Roman" w:hAnsi="Times New Roman" w:cs="Times New Roman"/>
          <w:i/>
          <w:color w:val="333333"/>
          <w:sz w:val="20"/>
          <w:szCs w:val="20"/>
          <w:lang w:val="en-US"/>
        </w:rPr>
        <w:t>Humanitas</w:t>
      </w:r>
      <w:proofErr w:type="spellEnd"/>
      <w:r w:rsidRPr="00F4420D">
        <w:rPr>
          <w:rFonts w:ascii="Times New Roman" w:hAnsi="Times New Roman" w:cs="Times New Roman"/>
          <w:i/>
          <w:color w:val="333333"/>
          <w:sz w:val="20"/>
          <w:szCs w:val="20"/>
          <w:lang w:val="en-US"/>
        </w:rPr>
        <w:t xml:space="preserve"> University Campus, </w:t>
      </w:r>
      <w:proofErr w:type="spellStart"/>
      <w:r w:rsidRPr="00F4420D">
        <w:rPr>
          <w:rFonts w:ascii="Times New Roman" w:hAnsi="Times New Roman" w:cs="Times New Roman"/>
          <w:i/>
          <w:color w:val="333333"/>
          <w:sz w:val="20"/>
          <w:szCs w:val="20"/>
          <w:lang w:val="en-US"/>
        </w:rPr>
        <w:t>Pieve</w:t>
      </w:r>
      <w:proofErr w:type="spellEnd"/>
      <w:r w:rsidRPr="00F4420D">
        <w:rPr>
          <w:rFonts w:ascii="Times New Roman" w:hAnsi="Times New Roman" w:cs="Times New Roman"/>
          <w:i/>
          <w:color w:val="333333"/>
          <w:sz w:val="20"/>
          <w:szCs w:val="20"/>
          <w:lang w:val="en-US"/>
        </w:rPr>
        <w:t xml:space="preserve"> Emanuele (MI)</w:t>
      </w:r>
    </w:p>
    <w:p w:rsidR="00A92B97" w:rsidRPr="000A553D" w:rsidRDefault="00A92B97" w:rsidP="00A92B97">
      <w:pPr>
        <w:pStyle w:val="e-mail"/>
        <w:rPr>
          <w:rFonts w:cs="Times New Roman"/>
          <w:szCs w:val="20"/>
        </w:rPr>
      </w:pPr>
      <w:r>
        <w:rPr>
          <w:rFonts w:cs="Times New Roman"/>
          <w:szCs w:val="20"/>
        </w:rPr>
        <w:t>a.italia@campus.unimib.it</w:t>
      </w:r>
      <w:r w:rsidRPr="000A553D">
        <w:rPr>
          <w:rFonts w:cs="Times New Roman"/>
          <w:szCs w:val="20"/>
        </w:rPr>
        <w:t xml:space="preserve"> </w:t>
      </w:r>
    </w:p>
    <w:p w:rsidR="00A92B97" w:rsidRPr="000A553D" w:rsidRDefault="00A92B97" w:rsidP="00A92B97">
      <w:pPr>
        <w:pStyle w:val="CDCOAbstractText"/>
        <w:jc w:val="center"/>
      </w:pPr>
    </w:p>
    <w:p w:rsidR="00A92B97" w:rsidRDefault="00A92B97" w:rsidP="00A92B97">
      <w:pPr>
        <w:pStyle w:val="CDCOAbstractText"/>
        <w:jc w:val="center"/>
      </w:pPr>
    </w:p>
    <w:p w:rsidR="00A92B97" w:rsidRPr="00F4420D" w:rsidRDefault="00A92B97" w:rsidP="00A92B97">
      <w:pPr>
        <w:pStyle w:val="NormaleWeb"/>
        <w:spacing w:before="0" w:beforeAutospacing="0" w:after="0" w:afterAutospacing="0"/>
        <w:rPr>
          <w:color w:val="1C1D1E"/>
          <w:sz w:val="22"/>
          <w:szCs w:val="22"/>
          <w:shd w:val="clear" w:color="auto" w:fill="FFFFFF"/>
          <w:lang w:val="en-US"/>
        </w:rPr>
      </w:pPr>
      <w:r w:rsidRPr="00F4420D">
        <w:rPr>
          <w:color w:val="212121"/>
          <w:sz w:val="22"/>
          <w:szCs w:val="22"/>
          <w:shd w:val="clear" w:color="auto" w:fill="FFFFFF"/>
          <w:lang w:val="en-US"/>
        </w:rPr>
        <w:t xml:space="preserve">Fibrosis is an outcome of the repair response to tissue damage caused by inflammation. </w:t>
      </w:r>
      <w:proofErr w:type="gramStart"/>
      <w:r w:rsidRPr="00F4420D">
        <w:rPr>
          <w:color w:val="212121"/>
          <w:sz w:val="22"/>
          <w:szCs w:val="22"/>
          <w:shd w:val="clear" w:color="auto" w:fill="FFFFFF"/>
          <w:lang w:val="en-US"/>
        </w:rPr>
        <w:t>When the fibrotic process is excessive or dysregulated</w:t>
      </w:r>
      <w:proofErr w:type="gramEnd"/>
      <w:r w:rsidRPr="00F4420D">
        <w:rPr>
          <w:color w:val="212121"/>
          <w:sz w:val="22"/>
          <w:szCs w:val="22"/>
          <w:shd w:val="clear" w:color="auto" w:fill="FFFFFF"/>
          <w:lang w:val="en-US"/>
        </w:rPr>
        <w:t xml:space="preserve"> it leads to a pathological condition that can affect different organs and functions. Here, </w:t>
      </w:r>
      <w:r>
        <w:rPr>
          <w:color w:val="212121"/>
          <w:sz w:val="22"/>
          <w:szCs w:val="22"/>
          <w:shd w:val="clear" w:color="auto" w:fill="FFFFFF"/>
          <w:lang w:val="en-US"/>
        </w:rPr>
        <w:t xml:space="preserve">it </w:t>
      </w:r>
      <w:r w:rsidRPr="00F4420D">
        <w:rPr>
          <w:color w:val="212121"/>
          <w:sz w:val="22"/>
          <w:szCs w:val="22"/>
          <w:shd w:val="clear" w:color="auto" w:fill="FFFFFF"/>
          <w:lang w:val="en-US"/>
        </w:rPr>
        <w:t xml:space="preserve">is now clear that inflammation, which however is not the only trigger, plays a key role in the critical cellular process of fibroblast activation that leads to fibrosis up-set </w:t>
      </w:r>
      <w:r w:rsidRPr="00F4420D">
        <w:rPr>
          <w:color w:val="1C1D1E"/>
          <w:sz w:val="22"/>
          <w:szCs w:val="22"/>
          <w:shd w:val="clear" w:color="auto" w:fill="FFFFFF"/>
          <w:lang w:val="en-US"/>
        </w:rPr>
        <w:fldChar w:fldCharType="begin"/>
      </w:r>
      <w:r>
        <w:rPr>
          <w:color w:val="1C1D1E"/>
          <w:sz w:val="22"/>
          <w:szCs w:val="22"/>
          <w:shd w:val="clear" w:color="auto" w:fill="FFFFFF"/>
          <w:lang w:val="en-US"/>
        </w:rPr>
        <w:instrText xml:space="preserve"> ADDIN ZOTERO_ITEM CSL_CITATION {"citationID":"KouRAMBW","properties":{"formattedCitation":"\\super 1\\nosupersub{}","plainCitation":"1","noteIndex":0},"citationItems":[{"id":1113,"uris":["http://zotero.org/users/local/7rrJwUpB/items/BQ5ERHQT","http://zotero.org/users/16329529/items/BQ5ERHQT"],"itemData":{"id":1113,"type":"webpage","title":"Upcoming treatments for morphea - Wenzel - 2021 - Immunity, Inflammation and Disease - Wiley Online Library","URL":"https://onlinelibrary.wiley.com/doi/full/10.1002/iid3.475","accessed":{"date-parts":[["2023",5,11]]}}}],"schema":"https://github.com/citation-style-language/schema/raw/master/csl-citation.json"} </w:instrText>
      </w:r>
      <w:r w:rsidRPr="00F4420D">
        <w:rPr>
          <w:color w:val="1C1D1E"/>
          <w:sz w:val="22"/>
          <w:szCs w:val="22"/>
          <w:shd w:val="clear" w:color="auto" w:fill="FFFFFF"/>
          <w:lang w:val="en-US"/>
        </w:rPr>
        <w:fldChar w:fldCharType="separate"/>
      </w:r>
      <w:r w:rsidRPr="00FB12FC">
        <w:rPr>
          <w:sz w:val="22"/>
          <w:vertAlign w:val="superscript"/>
          <w:lang w:val="en-US"/>
        </w:rPr>
        <w:t>1</w:t>
      </w:r>
      <w:r w:rsidRPr="00F4420D">
        <w:rPr>
          <w:color w:val="1C1D1E"/>
          <w:sz w:val="22"/>
          <w:szCs w:val="22"/>
          <w:shd w:val="clear" w:color="auto" w:fill="FFFFFF"/>
          <w:lang w:val="en-US"/>
        </w:rPr>
        <w:fldChar w:fldCharType="end"/>
      </w:r>
      <w:r w:rsidRPr="00F4420D">
        <w:rPr>
          <w:color w:val="212121"/>
          <w:sz w:val="22"/>
          <w:szCs w:val="22"/>
          <w:shd w:val="clear" w:color="auto" w:fill="FFFFFF"/>
          <w:lang w:val="en-US"/>
        </w:rPr>
        <w:t>.</w:t>
      </w:r>
    </w:p>
    <w:p w:rsidR="00A92B97" w:rsidRPr="00553520" w:rsidRDefault="00A92B97" w:rsidP="00A92B97">
      <w:pPr>
        <w:pStyle w:val="paperabstract"/>
        <w:shd w:val="clear" w:color="auto" w:fill="FFFFFF"/>
        <w:spacing w:before="72" w:beforeAutospacing="0" w:after="48" w:afterAutospacing="0"/>
        <w:ind w:left="24" w:right="24"/>
        <w:jc w:val="both"/>
        <w:rPr>
          <w:color w:val="000000"/>
          <w:sz w:val="22"/>
          <w:szCs w:val="22"/>
          <w:lang w:val="en-US"/>
        </w:rPr>
      </w:pPr>
      <w:r w:rsidRPr="00F4420D">
        <w:rPr>
          <w:color w:val="212121"/>
          <w:sz w:val="22"/>
          <w:szCs w:val="22"/>
          <w:shd w:val="clear" w:color="auto" w:fill="FFFFFF"/>
          <w:lang w:val="en-US"/>
        </w:rPr>
        <w:t xml:space="preserve">The recent discovery of complex crosstalk between fibrosis progression and inflammatory pathways underlines the central role of </w:t>
      </w:r>
      <w:r w:rsidRPr="00553520">
        <w:rPr>
          <w:color w:val="212121"/>
          <w:sz w:val="22"/>
          <w:szCs w:val="22"/>
          <w:shd w:val="clear" w:color="auto" w:fill="FFFFFF"/>
          <w:lang w:val="en-US"/>
        </w:rPr>
        <w:t>Toll-like Receptor 4 (TLR4)</w:t>
      </w:r>
      <w:r w:rsidRPr="00F4420D">
        <w:rPr>
          <w:color w:val="212121"/>
          <w:sz w:val="22"/>
          <w:szCs w:val="22"/>
          <w:shd w:val="clear" w:color="auto" w:fill="FFFFFF"/>
          <w:lang w:val="en-US"/>
        </w:rPr>
        <w:t xml:space="preserve"> and its potential as a new drug target</w:t>
      </w:r>
      <w:r w:rsidRPr="00F4420D">
        <w:rPr>
          <w:color w:val="282828"/>
          <w:sz w:val="22"/>
          <w:szCs w:val="22"/>
          <w:shd w:val="clear" w:color="auto" w:fill="F7F7F7"/>
          <w:lang w:val="en-US"/>
        </w:rPr>
        <w:fldChar w:fldCharType="begin"/>
      </w:r>
      <w:r>
        <w:rPr>
          <w:color w:val="282828"/>
          <w:sz w:val="22"/>
          <w:szCs w:val="22"/>
          <w:shd w:val="clear" w:color="auto" w:fill="F7F7F7"/>
          <w:lang w:val="en-US"/>
        </w:rPr>
        <w:instrText xml:space="preserve"> ADDIN ZOTERO_ITEM CSL_CITATION {"citationID":"KdCLHmbz","properties":{"formattedCitation":"\\super 2\\nosupersub{}","plainCitation":"2","noteIndex":0},"citationItems":[{"id":1121,"uris":["http://zotero.org/users/local/7rrJwUpB/items/E5BEIS3P","http://zotero.org/users/16329529/items/E5BEIS3P"],"itemData":{"id":1121,"type":"article-journal","abstract":"Systemic sclerosis (SSc) is a poorly understood heterogeneous condition with progressive multi-organ fibrosis. Recent genetic and genomic evidence suggest a pathogenic role for dysregulated innate immunity and toll-like receptor (TLR) activity in SSc. Levels of both TLR4, as well as certain endogenous TLR ligands, are elevated in skin and lung tissues from patients with SSc and correlate with clinical disease parameters. Conversely, genetic targeting of TLR4 or its endogenous “damage-associated” ligands ameliorates progressive tissue fibrosis. Targeting TLR4 signaling therefore represents a pharmacological strategy to prevent intractable fibrosis. We examined the effect of TAK242, a small molecule TLR4 inhibitor, in preclinical fibrosis models and in SSc fibroblasts. TAK242 treatment prevented, promoted regression of, bleomycin-induced dermal and pulmonary fibrosis, and reduced the expression of several pro-fibrotic mediators. Furthermore, TAK242 ameliorated peritoneal fibrosis and reduced spontaneous hypodermal thickness in TSK/+ mice. Importantly, TAK242 abrogated collagen synthesis and myofibroblasts differentiation in explanted constitutively active SSc fibroblast. Altogether, these findings identify TAK242 as an anti-fibrotic agent in preclinical models of organ fibrosis. TAK242 might potentially represent a novel strategy for the treatment of SSc and other fibrotic diseases.","container-title":"Frontiers in Immunology","ISSN":"1664-3224","source":"Frontiers","title":"Pharmacological Inhibition of Toll-Like Receptor-4 Signaling by TAK242 Prevents and Induces Regression of Experimental Organ Fibrosis","URL":"https://www.frontiersin.org/articles/10.3389/fimmu.2018.02434","volume":"9","author":[{"family":"Bhattacharyya","given":"Swati"},{"family":"Wang","given":"Wenxia"},{"family":"Tamaki","given":"Zenshiro"},{"family":"Shi","given":"Bo"},{"family":"Yeldandi","given":"Anjana"},{"family":"Tsukimi","given":"Yasuhiro"},{"family":"Yamasaki","given":"Masashi"},{"family":"Varga","given":"John"}],"accessed":{"date-parts":[["2023",5,13]]},"issued":{"date-parts":[["2018"]]}}}],"schema":"https://github.com/citation-style-language/schema/raw/master/csl-citation.json"} </w:instrText>
      </w:r>
      <w:r w:rsidRPr="00F4420D">
        <w:rPr>
          <w:color w:val="282828"/>
          <w:sz w:val="22"/>
          <w:szCs w:val="22"/>
          <w:shd w:val="clear" w:color="auto" w:fill="F7F7F7"/>
          <w:lang w:val="en-US"/>
        </w:rPr>
        <w:fldChar w:fldCharType="separate"/>
      </w:r>
      <w:r w:rsidRPr="00FB12FC">
        <w:rPr>
          <w:sz w:val="22"/>
          <w:vertAlign w:val="superscript"/>
          <w:lang w:val="en-US"/>
        </w:rPr>
        <w:t>2</w:t>
      </w:r>
      <w:r w:rsidRPr="00F4420D">
        <w:rPr>
          <w:color w:val="282828"/>
          <w:sz w:val="22"/>
          <w:szCs w:val="22"/>
          <w:shd w:val="clear" w:color="auto" w:fill="F7F7F7"/>
          <w:lang w:val="en-US"/>
        </w:rPr>
        <w:fldChar w:fldCharType="end"/>
      </w:r>
      <w:r w:rsidRPr="00F4420D">
        <w:rPr>
          <w:color w:val="212121"/>
          <w:sz w:val="22"/>
          <w:szCs w:val="22"/>
          <w:shd w:val="clear" w:color="auto" w:fill="FFFFFF"/>
          <w:lang w:val="en-US"/>
        </w:rPr>
        <w:t>. Here it is proposed an in vitro screening on cellular models of fibrosis with TLR4 antagonists to identify new potential drugs targeting Idiopathic Pulmonary Fibrosis (IPF), a rare fibrotic pathology where a pivotal role of TLR4-mediated inflammation has been observed</w:t>
      </w:r>
      <w:r w:rsidRPr="00F4420D">
        <w:rPr>
          <w:color w:val="333333"/>
          <w:sz w:val="22"/>
          <w:szCs w:val="22"/>
          <w:shd w:val="clear" w:color="auto" w:fill="FCFCFC"/>
          <w:lang w:val="en-US"/>
        </w:rPr>
        <w:t xml:space="preserve"> </w:t>
      </w:r>
      <w:r w:rsidRPr="00F4420D">
        <w:rPr>
          <w:color w:val="333333"/>
          <w:sz w:val="22"/>
          <w:szCs w:val="22"/>
          <w:shd w:val="clear" w:color="auto" w:fill="FCFCFC"/>
          <w:lang w:val="en-US"/>
        </w:rPr>
        <w:fldChar w:fldCharType="begin"/>
      </w:r>
      <w:r>
        <w:rPr>
          <w:color w:val="333333"/>
          <w:sz w:val="22"/>
          <w:szCs w:val="22"/>
          <w:shd w:val="clear" w:color="auto" w:fill="FCFCFC"/>
          <w:lang w:val="en-US"/>
        </w:rPr>
        <w:instrText xml:space="preserve"> ADDIN ZOTERO_ITEM CSL_CITATION {"citationID":"DfXEc6c4","properties":{"formattedCitation":"\\super 3\\nosupersub{}","plainCitation":"3","noteIndex":0},"citationItems":[{"id":1114,"uris":["http://zotero.org/users/local/7rrJwUpB/items/JXG9JWPR","http://zotero.org/users/16329529/items/JXG9JWPR"],"itemData":{"id":1114,"type":"webpage","title":"Emerging Roles of Innate Immune Signaling and Toll-Like Receptors in Fibrosis and Systemic Sclerosis | SpringerLink","URL":"https://link.springer.com/article/10.1007/s11926-014-0474-z","accessed":{"date-parts":[["2023",5,11]]}}}],"schema":"https://github.com/citation-style-language/schema/raw/master/csl-citation.json"} </w:instrText>
      </w:r>
      <w:r w:rsidRPr="00F4420D">
        <w:rPr>
          <w:color w:val="333333"/>
          <w:sz w:val="22"/>
          <w:szCs w:val="22"/>
          <w:shd w:val="clear" w:color="auto" w:fill="FCFCFC"/>
          <w:lang w:val="en-US"/>
        </w:rPr>
        <w:fldChar w:fldCharType="separate"/>
      </w:r>
      <w:r w:rsidRPr="00FB12FC">
        <w:rPr>
          <w:sz w:val="22"/>
          <w:vertAlign w:val="superscript"/>
          <w:lang w:val="en-US"/>
        </w:rPr>
        <w:t>3</w:t>
      </w:r>
      <w:r w:rsidRPr="00F4420D">
        <w:rPr>
          <w:color w:val="333333"/>
          <w:sz w:val="22"/>
          <w:szCs w:val="22"/>
          <w:shd w:val="clear" w:color="auto" w:fill="FCFCFC"/>
          <w:lang w:val="en-US"/>
        </w:rPr>
        <w:fldChar w:fldCharType="end"/>
      </w:r>
      <w:r w:rsidRPr="00F4420D">
        <w:rPr>
          <w:color w:val="333333"/>
          <w:sz w:val="22"/>
          <w:szCs w:val="22"/>
          <w:shd w:val="clear" w:color="auto" w:fill="FCFCFC"/>
          <w:lang w:val="en-US"/>
        </w:rPr>
        <w:t xml:space="preserve"> </w:t>
      </w:r>
      <w:r w:rsidRPr="00F4420D">
        <w:rPr>
          <w:color w:val="333333"/>
          <w:sz w:val="22"/>
          <w:szCs w:val="22"/>
          <w:shd w:val="clear" w:color="auto" w:fill="FCFCFC"/>
          <w:lang w:val="en-US"/>
        </w:rPr>
        <w:fldChar w:fldCharType="begin"/>
      </w:r>
      <w:r>
        <w:rPr>
          <w:color w:val="333333"/>
          <w:sz w:val="22"/>
          <w:szCs w:val="22"/>
          <w:shd w:val="clear" w:color="auto" w:fill="FCFCFC"/>
          <w:lang w:val="en-US"/>
        </w:rPr>
        <w:instrText xml:space="preserve"> ADDIN ZOTERO_ITEM CSL_CITATION {"citationID":"6pVbkNzS","properties":{"formattedCitation":"\\super 4\\nosupersub{}","plainCitation":"4","noteIndex":0},"citationItems":[{"id":1110,"uris":["http://zotero.org/users/local/7rrJwUpB/items/F8U78M3M","http://zotero.org/users/16329529/items/F8U78M3M"],"itemData":{"id":1110,"type":"article-journal","abstract":"Pulmonary fibrosis is a chronic debilitating condition characterized by progressive deposition of connective tissue, leading to a steady restriction of lung elasticity, a decline in lung function, and a median survival of 4.5 years. The leading causes of pulmonary fibrosis are inhalation of foreign particles (such as silicosis and pneumoconiosis), infections (such as post COVID-19), autoimmune diseases (such as systemic autoimmune diseases of the connective tissue), and idiopathic pulmonary fibrosis. The therapeutics currently available for pulmonary fibrosis only modestly slow the progression of the disease. This review is centered on the interplay of damage-associated molecular pattern (DAMP) molecules, Toll-like receptor 4 (TLR4), and inflammatory cytokines (such as TNF-α, IL-1β, and IL-17) as they contribute to the pathogenesis of pulmonary fibrosis, and the possible avenues to develop effective therapeutics that disrupt this interplay.","container-title":"Journal of Molecular Medicine","DOI":"10.1007/s00109-021-02113-y","ISSN":"1432-1440","issue":"10","journalAbbreviation":"J Mol Med","language":"en","page":"1373-1384","source":"Springer Link","title":"The interplay of DAMPs, TLR4, and proinflammatory cytokines in pulmonary fibrosis","volume":"99","author":[{"family":"Bolourani","given":"Siavash"},{"family":"Brenner","given":"Max"},{"family":"Wang","given":"Ping"}],"issued":{"date-parts":[["2021",10,1]]}}}],"schema":"https://github.com/citation-style-language/schema/raw/master/csl-citation.json"} </w:instrText>
      </w:r>
      <w:r w:rsidRPr="00F4420D">
        <w:rPr>
          <w:color w:val="333333"/>
          <w:sz w:val="22"/>
          <w:szCs w:val="22"/>
          <w:shd w:val="clear" w:color="auto" w:fill="FCFCFC"/>
          <w:lang w:val="en-US"/>
        </w:rPr>
        <w:fldChar w:fldCharType="separate"/>
      </w:r>
      <w:r w:rsidRPr="00553520">
        <w:rPr>
          <w:sz w:val="22"/>
          <w:vertAlign w:val="superscript"/>
          <w:lang w:val="en-US"/>
        </w:rPr>
        <w:t>4</w:t>
      </w:r>
      <w:r w:rsidRPr="00F4420D">
        <w:rPr>
          <w:color w:val="333333"/>
          <w:sz w:val="22"/>
          <w:szCs w:val="22"/>
          <w:shd w:val="clear" w:color="auto" w:fill="FCFCFC"/>
          <w:lang w:val="en-US"/>
        </w:rPr>
        <w:fldChar w:fldCharType="end"/>
      </w:r>
      <w:r w:rsidRPr="00F4420D">
        <w:rPr>
          <w:color w:val="212121"/>
          <w:sz w:val="22"/>
          <w:szCs w:val="22"/>
          <w:shd w:val="clear" w:color="auto" w:fill="FFFFFF"/>
          <w:lang w:val="en-US"/>
        </w:rPr>
        <w:t xml:space="preserve">.  </w:t>
      </w:r>
      <w:r w:rsidRPr="00553520">
        <w:rPr>
          <w:color w:val="000000"/>
          <w:sz w:val="22"/>
          <w:szCs w:val="22"/>
          <w:lang w:val="en-US"/>
        </w:rPr>
        <w:t xml:space="preserve">In particular, in this work, we started to test the possible impact on fibrosis </w:t>
      </w:r>
      <w:r>
        <w:rPr>
          <w:color w:val="000000"/>
          <w:sz w:val="22"/>
          <w:szCs w:val="22"/>
          <w:lang w:val="en-US"/>
        </w:rPr>
        <w:t>phenotype up-set</w:t>
      </w:r>
      <w:r w:rsidRPr="00553520">
        <w:rPr>
          <w:color w:val="000000"/>
          <w:sz w:val="22"/>
          <w:szCs w:val="22"/>
          <w:lang w:val="en-US"/>
        </w:rPr>
        <w:t xml:space="preserve"> of FP7 and FP12 that showed inhibition activity against TRL4 activation by LPS in a dose-dependent way i</w:t>
      </w:r>
      <w:r>
        <w:rPr>
          <w:color w:val="000000"/>
          <w:sz w:val="22"/>
          <w:szCs w:val="22"/>
          <w:lang w:val="en-US"/>
        </w:rPr>
        <w:t xml:space="preserve">n both human and murine cells </w:t>
      </w:r>
      <w:r>
        <w:rPr>
          <w:color w:val="000000"/>
          <w:sz w:val="22"/>
          <w:szCs w:val="22"/>
          <w:lang w:val="en-US"/>
        </w:rPr>
        <w:fldChar w:fldCharType="begin"/>
      </w:r>
      <w:r>
        <w:rPr>
          <w:color w:val="000000"/>
          <w:sz w:val="22"/>
          <w:szCs w:val="22"/>
          <w:lang w:val="en-US"/>
        </w:rPr>
        <w:instrText xml:space="preserve"> ADDIN ZOTERO_ITEM CSL_CITATION {"citationID":"Bd6aMg29","properties":{"formattedCitation":"\\super 5\\nosupersub{}","plainCitation":"5","noteIndex":0},"citationItems":[{"id":1139,"uris":["http://zotero.org/users/16329529/items/CE2LZ465"],"itemData":{"id":1139,"type":"article-journal","abstract":"The structure–activity relationship was investigated in a series of synthetic TLR4 antagonists formed by a glucosamine core linked to two phosphate esters and two linear carbon chains. Molecular modeling showed that the compounds with 10, 12, and 14 carbons chains are associated with higher stabilization of the MD-2/TLR4 antagonist conformation than in the case of the C16 variant. Binding experiments with human MD-2 showed that the C12 and C14 variants have higher affinity than C10, while the C16 variant did not interact with the protein. The molecules, with the exception of the C16 variant, inhibited the LPS-stimulated TLR4 signal in human and murine cells, and the antagonist potency mirrored the MD-2 affinity calculated from in vitro binding experiments. Fourier-transform infrared, nuclear magnetic resonance, and small angle X-ray scattering measurements suggested that the aggregation state in aqueous solution depends on fatty acid chain lengths and that this property can influence TLR4 activity in this series of compounds.","container-title":"Journal of Medicinal Chemistry","DOI":"10.1021/acs.jmedchem.7b01803","ISSN":"0022-2623","issue":"7","journalAbbreviation":"J. Med. Chem.","note":"publisher: American Chemical Society","page":"2895-2909","source":"ACS Publications","title":"Structure–Activity Relationship in Monosaccharide-Based Toll-Like Receptor 4 (TLR4) Antagonists","volume":"61","author":[{"family":"Facchini","given":"Fabio A."},{"family":"Zaffaroni","given":"Lenny"},{"family":"Minotti","given":"Alberto"},{"family":"Rapisarda","given":"Silvia"},{"family":"Calabrese","given":"Valentina"},{"family":"Forcella","given":"Matilde"},{"family":"Fusi","given":"Paola"},{"family":"Airoldi","given":"Cristina"},{"family":"Ciaramelli","given":"Carlotta"},{"family":"Billod","given":"Jean-Marc"},{"family":"Schromm","given":"Andra B."},{"family":"Braun","given":"Harald"},{"family":"Palmer","given":"Charys"},{"family":"Beyaert","given":"Rudi"},{"family":"Lapenta","given":"Fabio"},{"family":"Jerala","given":"Roman"},{"family":"Pirianov","given":"Grisha"},{"family":"Martin-Santamaria","given":"Sonsoles"},{"family":"Peri","given":"Francesco"}],"issued":{"date-parts":[["2018",4,12]]}}}],"schema":"https://github.com/citation-style-language/schema/raw/master/csl-citation.json"} </w:instrText>
      </w:r>
      <w:r>
        <w:rPr>
          <w:color w:val="000000"/>
          <w:sz w:val="22"/>
          <w:szCs w:val="22"/>
          <w:lang w:val="en-US"/>
        </w:rPr>
        <w:fldChar w:fldCharType="separate"/>
      </w:r>
      <w:r w:rsidRPr="00B05E69">
        <w:rPr>
          <w:sz w:val="22"/>
          <w:vertAlign w:val="superscript"/>
          <w:lang w:val="en-US"/>
        </w:rPr>
        <w:t>5</w:t>
      </w:r>
      <w:r>
        <w:rPr>
          <w:color w:val="000000"/>
          <w:sz w:val="22"/>
          <w:szCs w:val="22"/>
          <w:lang w:val="en-US"/>
        </w:rPr>
        <w:fldChar w:fldCharType="end"/>
      </w:r>
    </w:p>
    <w:p w:rsidR="00A92B97" w:rsidRPr="00F4420D" w:rsidRDefault="00A92B97" w:rsidP="00A92B97">
      <w:pPr>
        <w:pStyle w:val="NormaleWeb"/>
        <w:spacing w:before="0" w:beforeAutospacing="0" w:after="0" w:afterAutospacing="0"/>
        <w:jc w:val="both"/>
        <w:rPr>
          <w:color w:val="212121"/>
          <w:sz w:val="22"/>
          <w:szCs w:val="22"/>
          <w:shd w:val="clear" w:color="auto" w:fill="FFFFFF"/>
          <w:lang w:val="en-US"/>
        </w:rPr>
      </w:pPr>
    </w:p>
    <w:p w:rsidR="00A92B97" w:rsidRPr="000A553D" w:rsidRDefault="00A92B97" w:rsidP="00A92B97">
      <w:pPr>
        <w:pStyle w:val="CDCOAbstractText"/>
        <w:ind w:firstLine="0"/>
        <w:rPr>
          <w:rFonts w:cs="Times New Roman"/>
          <w:sz w:val="20"/>
          <w:szCs w:val="20"/>
        </w:rPr>
      </w:pPr>
    </w:p>
    <w:p w:rsidR="00A92B97" w:rsidRPr="00FB12FC" w:rsidRDefault="00A92B97" w:rsidP="00A92B97">
      <w:pPr>
        <w:pStyle w:val="CDCOReferenceTitle"/>
        <w:rPr>
          <w:rFonts w:cs="Times New Roman"/>
          <w:sz w:val="20"/>
          <w:szCs w:val="20"/>
          <w:lang w:val="en-US"/>
        </w:rPr>
      </w:pPr>
      <w:r w:rsidRPr="00FB12FC">
        <w:rPr>
          <w:rFonts w:cs="Times New Roman"/>
          <w:sz w:val="20"/>
          <w:szCs w:val="20"/>
          <w:lang w:val="en-US"/>
        </w:rPr>
        <w:t>References:</w:t>
      </w:r>
    </w:p>
    <w:p w:rsidR="00A92B97" w:rsidRPr="00B05E69" w:rsidRDefault="00A92B97" w:rsidP="00A92B97">
      <w:pPr>
        <w:pStyle w:val="Bibliografia"/>
        <w:rPr>
          <w:rFonts w:ascii="Times New Roman" w:hAnsi="Times New Roman" w:cs="Times New Roman"/>
          <w:sz w:val="20"/>
          <w:lang w:val="en-US"/>
        </w:rPr>
      </w:pPr>
      <w:r>
        <w:rPr>
          <w:szCs w:val="20"/>
        </w:rPr>
        <w:fldChar w:fldCharType="begin"/>
      </w:r>
      <w:r w:rsidRPr="00FB12FC">
        <w:rPr>
          <w:szCs w:val="20"/>
          <w:lang w:val="en-US"/>
        </w:rPr>
        <w:instrText xml:space="preserve"> ADDIN ZOTERO_BIBL {"uncited":[],"omitted":[],"custom":[]} CSL_BIBLIOGRAPHY </w:instrText>
      </w:r>
      <w:r>
        <w:rPr>
          <w:szCs w:val="20"/>
        </w:rPr>
        <w:fldChar w:fldCharType="separate"/>
      </w:r>
      <w:r w:rsidRPr="00B05E69">
        <w:rPr>
          <w:rFonts w:ascii="Times New Roman" w:hAnsi="Times New Roman" w:cs="Times New Roman"/>
          <w:sz w:val="20"/>
          <w:lang w:val="en-US"/>
        </w:rPr>
        <w:t>1.</w:t>
      </w:r>
      <w:r w:rsidRPr="00B05E69">
        <w:rPr>
          <w:rFonts w:ascii="Times New Roman" w:hAnsi="Times New Roman" w:cs="Times New Roman"/>
          <w:sz w:val="20"/>
          <w:lang w:val="en-US"/>
        </w:rPr>
        <w:tab/>
        <w:t xml:space="preserve">Upcoming treatments for </w:t>
      </w:r>
      <w:proofErr w:type="spellStart"/>
      <w:r w:rsidRPr="00B05E69">
        <w:rPr>
          <w:rFonts w:ascii="Times New Roman" w:hAnsi="Times New Roman" w:cs="Times New Roman"/>
          <w:sz w:val="20"/>
          <w:lang w:val="en-US"/>
        </w:rPr>
        <w:t>morphea</w:t>
      </w:r>
      <w:proofErr w:type="spellEnd"/>
      <w:r w:rsidRPr="00B05E69">
        <w:rPr>
          <w:rFonts w:ascii="Times New Roman" w:hAnsi="Times New Roman" w:cs="Times New Roman"/>
          <w:sz w:val="20"/>
          <w:lang w:val="en-US"/>
        </w:rPr>
        <w:t xml:space="preserve"> - Wenzel - 2021 - Immunity, Inflammation and Disease - Wiley Online Library. https://onlinelibrary.wiley.com/doi/full/10.1002/iid3.475.</w:t>
      </w:r>
    </w:p>
    <w:p w:rsidR="00A92B97" w:rsidRPr="00B05E69" w:rsidRDefault="00A92B97" w:rsidP="00A92B97">
      <w:pPr>
        <w:pStyle w:val="Bibliografia"/>
        <w:rPr>
          <w:rFonts w:ascii="Times New Roman" w:hAnsi="Times New Roman" w:cs="Times New Roman"/>
          <w:sz w:val="20"/>
          <w:lang w:val="en-US"/>
        </w:rPr>
      </w:pPr>
      <w:r w:rsidRPr="00B05E69">
        <w:rPr>
          <w:rFonts w:ascii="Times New Roman" w:hAnsi="Times New Roman" w:cs="Times New Roman"/>
          <w:sz w:val="20"/>
          <w:lang w:val="en-US"/>
        </w:rPr>
        <w:t>2.</w:t>
      </w:r>
      <w:r w:rsidRPr="00B05E69">
        <w:rPr>
          <w:rFonts w:ascii="Times New Roman" w:hAnsi="Times New Roman" w:cs="Times New Roman"/>
          <w:sz w:val="20"/>
          <w:lang w:val="en-US"/>
        </w:rPr>
        <w:tab/>
      </w:r>
      <w:proofErr w:type="gramStart"/>
      <w:r w:rsidRPr="00B05E69">
        <w:rPr>
          <w:rFonts w:ascii="Times New Roman" w:hAnsi="Times New Roman" w:cs="Times New Roman"/>
          <w:sz w:val="20"/>
          <w:lang w:val="en-US"/>
        </w:rPr>
        <w:t>Bhattacharyya,</w:t>
      </w:r>
      <w:proofErr w:type="gramEnd"/>
      <w:r w:rsidRPr="00B05E69">
        <w:rPr>
          <w:rFonts w:ascii="Times New Roman" w:hAnsi="Times New Roman" w:cs="Times New Roman"/>
          <w:sz w:val="20"/>
          <w:lang w:val="en-US"/>
        </w:rPr>
        <w:t xml:space="preserve"> S. </w:t>
      </w:r>
      <w:r w:rsidRPr="00B05E69">
        <w:rPr>
          <w:rFonts w:ascii="Times New Roman" w:hAnsi="Times New Roman" w:cs="Times New Roman"/>
          <w:i/>
          <w:iCs/>
          <w:sz w:val="20"/>
          <w:lang w:val="en-US"/>
        </w:rPr>
        <w:t>et al.</w:t>
      </w:r>
      <w:r w:rsidRPr="00B05E69">
        <w:rPr>
          <w:rFonts w:ascii="Times New Roman" w:hAnsi="Times New Roman" w:cs="Times New Roman"/>
          <w:sz w:val="20"/>
          <w:lang w:val="en-US"/>
        </w:rPr>
        <w:t xml:space="preserve"> Pharmacological Inhibition of Toll-Like Receptor-4 Signaling by TAK242 Prevents and Induces Regression of Experimental Organ Fibrosis. </w:t>
      </w:r>
      <w:r w:rsidRPr="00B05E69">
        <w:rPr>
          <w:rFonts w:ascii="Times New Roman" w:hAnsi="Times New Roman" w:cs="Times New Roman"/>
          <w:i/>
          <w:iCs/>
          <w:sz w:val="20"/>
          <w:lang w:val="en-US"/>
        </w:rPr>
        <w:t>Frontiers in Immunology</w:t>
      </w:r>
      <w:r w:rsidRPr="00B05E69">
        <w:rPr>
          <w:rFonts w:ascii="Times New Roman" w:hAnsi="Times New Roman" w:cs="Times New Roman"/>
          <w:sz w:val="20"/>
          <w:lang w:val="en-US"/>
        </w:rPr>
        <w:t xml:space="preserve"> </w:t>
      </w:r>
      <w:r w:rsidRPr="00B05E69">
        <w:rPr>
          <w:rFonts w:ascii="Times New Roman" w:hAnsi="Times New Roman" w:cs="Times New Roman"/>
          <w:b/>
          <w:bCs/>
          <w:sz w:val="20"/>
          <w:lang w:val="en-US"/>
        </w:rPr>
        <w:t>9</w:t>
      </w:r>
      <w:r w:rsidRPr="00B05E69">
        <w:rPr>
          <w:rFonts w:ascii="Times New Roman" w:hAnsi="Times New Roman" w:cs="Times New Roman"/>
          <w:sz w:val="20"/>
          <w:lang w:val="en-US"/>
        </w:rPr>
        <w:t>, (2018).</w:t>
      </w:r>
    </w:p>
    <w:p w:rsidR="00A92B97" w:rsidRPr="00B05E69" w:rsidRDefault="00A92B97" w:rsidP="00A92B97">
      <w:pPr>
        <w:pStyle w:val="Bibliografia"/>
        <w:rPr>
          <w:rFonts w:ascii="Times New Roman" w:hAnsi="Times New Roman" w:cs="Times New Roman"/>
          <w:sz w:val="20"/>
          <w:lang w:val="en-US"/>
        </w:rPr>
      </w:pPr>
      <w:r w:rsidRPr="00B05E69">
        <w:rPr>
          <w:rFonts w:ascii="Times New Roman" w:hAnsi="Times New Roman" w:cs="Times New Roman"/>
          <w:sz w:val="20"/>
          <w:lang w:val="en-US"/>
        </w:rPr>
        <w:t>3.</w:t>
      </w:r>
      <w:r w:rsidRPr="00B05E69">
        <w:rPr>
          <w:rFonts w:ascii="Times New Roman" w:hAnsi="Times New Roman" w:cs="Times New Roman"/>
          <w:sz w:val="20"/>
          <w:lang w:val="en-US"/>
        </w:rPr>
        <w:tab/>
        <w:t xml:space="preserve">Emerging Roles of Innate Immune Signaling and Toll-Like Receptors in Fibrosis and Systemic Sclerosis | </w:t>
      </w:r>
      <w:proofErr w:type="spellStart"/>
      <w:r w:rsidRPr="00B05E69">
        <w:rPr>
          <w:rFonts w:ascii="Times New Roman" w:hAnsi="Times New Roman" w:cs="Times New Roman"/>
          <w:sz w:val="20"/>
          <w:lang w:val="en-US"/>
        </w:rPr>
        <w:t>SpringerLink</w:t>
      </w:r>
      <w:proofErr w:type="spellEnd"/>
      <w:r w:rsidRPr="00B05E69">
        <w:rPr>
          <w:rFonts w:ascii="Times New Roman" w:hAnsi="Times New Roman" w:cs="Times New Roman"/>
          <w:sz w:val="20"/>
          <w:lang w:val="en-US"/>
        </w:rPr>
        <w:t>. https://link.springer.com/article/10.1007/s11926-014-0474-z.</w:t>
      </w:r>
    </w:p>
    <w:p w:rsidR="00A92B97" w:rsidRPr="00B05E69" w:rsidRDefault="00A92B97" w:rsidP="00A92B97">
      <w:pPr>
        <w:pStyle w:val="Bibliografia"/>
        <w:rPr>
          <w:rFonts w:ascii="Times New Roman" w:hAnsi="Times New Roman" w:cs="Times New Roman"/>
          <w:sz w:val="20"/>
          <w:lang w:val="en-US"/>
        </w:rPr>
      </w:pPr>
      <w:r w:rsidRPr="00B05E69">
        <w:rPr>
          <w:rFonts w:ascii="Times New Roman" w:hAnsi="Times New Roman" w:cs="Times New Roman"/>
          <w:sz w:val="20"/>
          <w:lang w:val="en-US"/>
        </w:rPr>
        <w:t>4.</w:t>
      </w:r>
      <w:r w:rsidRPr="00B05E69">
        <w:rPr>
          <w:rFonts w:ascii="Times New Roman" w:hAnsi="Times New Roman" w:cs="Times New Roman"/>
          <w:sz w:val="20"/>
          <w:lang w:val="en-US"/>
        </w:rPr>
        <w:tab/>
      </w:r>
      <w:proofErr w:type="spellStart"/>
      <w:r w:rsidRPr="00B05E69">
        <w:rPr>
          <w:rFonts w:ascii="Times New Roman" w:hAnsi="Times New Roman" w:cs="Times New Roman"/>
          <w:sz w:val="20"/>
          <w:lang w:val="en-US"/>
        </w:rPr>
        <w:t>Bolourani</w:t>
      </w:r>
      <w:proofErr w:type="spellEnd"/>
      <w:r w:rsidRPr="00B05E69">
        <w:rPr>
          <w:rFonts w:ascii="Times New Roman" w:hAnsi="Times New Roman" w:cs="Times New Roman"/>
          <w:sz w:val="20"/>
          <w:lang w:val="en-US"/>
        </w:rPr>
        <w:t xml:space="preserve">, S., Brenner, M. &amp; Wang, P. The interplay of DAMPs, TLR4, and </w:t>
      </w:r>
      <w:proofErr w:type="spellStart"/>
      <w:r w:rsidRPr="00B05E69">
        <w:rPr>
          <w:rFonts w:ascii="Times New Roman" w:hAnsi="Times New Roman" w:cs="Times New Roman"/>
          <w:sz w:val="20"/>
          <w:lang w:val="en-US"/>
        </w:rPr>
        <w:t>proinflammatory</w:t>
      </w:r>
      <w:proofErr w:type="spellEnd"/>
      <w:r w:rsidRPr="00B05E69">
        <w:rPr>
          <w:rFonts w:ascii="Times New Roman" w:hAnsi="Times New Roman" w:cs="Times New Roman"/>
          <w:sz w:val="20"/>
          <w:lang w:val="en-US"/>
        </w:rPr>
        <w:t xml:space="preserve"> cytokines in pulmonary fibrosis. </w:t>
      </w:r>
      <w:r w:rsidRPr="00B05E69">
        <w:rPr>
          <w:rFonts w:ascii="Times New Roman" w:hAnsi="Times New Roman" w:cs="Times New Roman"/>
          <w:i/>
          <w:iCs/>
          <w:sz w:val="20"/>
          <w:lang w:val="en-US"/>
        </w:rPr>
        <w:t xml:space="preserve">J </w:t>
      </w:r>
      <w:proofErr w:type="spellStart"/>
      <w:r w:rsidRPr="00B05E69">
        <w:rPr>
          <w:rFonts w:ascii="Times New Roman" w:hAnsi="Times New Roman" w:cs="Times New Roman"/>
          <w:i/>
          <w:iCs/>
          <w:sz w:val="20"/>
          <w:lang w:val="en-US"/>
        </w:rPr>
        <w:t>Mol</w:t>
      </w:r>
      <w:proofErr w:type="spellEnd"/>
      <w:r w:rsidRPr="00B05E69">
        <w:rPr>
          <w:rFonts w:ascii="Times New Roman" w:hAnsi="Times New Roman" w:cs="Times New Roman"/>
          <w:i/>
          <w:iCs/>
          <w:sz w:val="20"/>
          <w:lang w:val="en-US"/>
        </w:rPr>
        <w:t xml:space="preserve"> Med</w:t>
      </w:r>
      <w:r w:rsidRPr="00B05E69">
        <w:rPr>
          <w:rFonts w:ascii="Times New Roman" w:hAnsi="Times New Roman" w:cs="Times New Roman"/>
          <w:sz w:val="20"/>
          <w:lang w:val="en-US"/>
        </w:rPr>
        <w:t xml:space="preserve"> </w:t>
      </w:r>
      <w:r w:rsidRPr="00B05E69">
        <w:rPr>
          <w:rFonts w:ascii="Times New Roman" w:hAnsi="Times New Roman" w:cs="Times New Roman"/>
          <w:b/>
          <w:bCs/>
          <w:sz w:val="20"/>
          <w:lang w:val="en-US"/>
        </w:rPr>
        <w:t>99</w:t>
      </w:r>
      <w:r w:rsidRPr="00B05E69">
        <w:rPr>
          <w:rFonts w:ascii="Times New Roman" w:hAnsi="Times New Roman" w:cs="Times New Roman"/>
          <w:sz w:val="20"/>
          <w:lang w:val="en-US"/>
        </w:rPr>
        <w:t>, 1373–1384 (2021).</w:t>
      </w:r>
    </w:p>
    <w:p w:rsidR="00A92B97" w:rsidRPr="00B05E69" w:rsidRDefault="00A92B97" w:rsidP="00A92B97">
      <w:pPr>
        <w:pStyle w:val="Bibliografia"/>
        <w:rPr>
          <w:rFonts w:ascii="Times New Roman" w:hAnsi="Times New Roman" w:cs="Times New Roman"/>
          <w:sz w:val="20"/>
          <w:lang w:val="en-US"/>
        </w:rPr>
      </w:pPr>
      <w:r w:rsidRPr="00B05E69">
        <w:rPr>
          <w:rFonts w:ascii="Times New Roman" w:hAnsi="Times New Roman" w:cs="Times New Roman"/>
          <w:sz w:val="20"/>
          <w:lang w:val="en-US"/>
        </w:rPr>
        <w:t>5.</w:t>
      </w:r>
      <w:r w:rsidRPr="00B05E69">
        <w:rPr>
          <w:rFonts w:ascii="Times New Roman" w:hAnsi="Times New Roman" w:cs="Times New Roman"/>
          <w:sz w:val="20"/>
          <w:lang w:val="en-US"/>
        </w:rPr>
        <w:tab/>
      </w:r>
      <w:proofErr w:type="spellStart"/>
      <w:r w:rsidRPr="00B05E69">
        <w:rPr>
          <w:rFonts w:ascii="Times New Roman" w:hAnsi="Times New Roman" w:cs="Times New Roman"/>
          <w:sz w:val="20"/>
          <w:lang w:val="en-US"/>
        </w:rPr>
        <w:t>Facchini</w:t>
      </w:r>
      <w:proofErr w:type="spellEnd"/>
      <w:r w:rsidRPr="00B05E69">
        <w:rPr>
          <w:rFonts w:ascii="Times New Roman" w:hAnsi="Times New Roman" w:cs="Times New Roman"/>
          <w:sz w:val="20"/>
          <w:lang w:val="en-US"/>
        </w:rPr>
        <w:t xml:space="preserve">, F. A. </w:t>
      </w:r>
      <w:r w:rsidRPr="00B05E69">
        <w:rPr>
          <w:rFonts w:ascii="Times New Roman" w:hAnsi="Times New Roman" w:cs="Times New Roman"/>
          <w:i/>
          <w:iCs/>
          <w:sz w:val="20"/>
          <w:lang w:val="en-US"/>
        </w:rPr>
        <w:t>et al.</w:t>
      </w:r>
      <w:r w:rsidRPr="00B05E69">
        <w:rPr>
          <w:rFonts w:ascii="Times New Roman" w:hAnsi="Times New Roman" w:cs="Times New Roman"/>
          <w:sz w:val="20"/>
          <w:lang w:val="en-US"/>
        </w:rPr>
        <w:t xml:space="preserve"> Structure–Activity Relationship in Monosaccharide-Based Toll-Like Receptor 4 (TLR4) Antagonists. </w:t>
      </w:r>
      <w:r w:rsidRPr="00B05E69">
        <w:rPr>
          <w:rFonts w:ascii="Times New Roman" w:hAnsi="Times New Roman" w:cs="Times New Roman"/>
          <w:i/>
          <w:iCs/>
          <w:sz w:val="20"/>
          <w:lang w:val="en-US"/>
        </w:rPr>
        <w:t>J. Med. Chem.</w:t>
      </w:r>
      <w:r w:rsidRPr="00B05E69">
        <w:rPr>
          <w:rFonts w:ascii="Times New Roman" w:hAnsi="Times New Roman" w:cs="Times New Roman"/>
          <w:sz w:val="20"/>
          <w:lang w:val="en-US"/>
        </w:rPr>
        <w:t xml:space="preserve"> </w:t>
      </w:r>
      <w:r w:rsidRPr="00B05E69">
        <w:rPr>
          <w:rFonts w:ascii="Times New Roman" w:hAnsi="Times New Roman" w:cs="Times New Roman"/>
          <w:b/>
          <w:bCs/>
          <w:sz w:val="20"/>
          <w:lang w:val="en-US"/>
        </w:rPr>
        <w:t>61</w:t>
      </w:r>
      <w:r w:rsidRPr="00B05E69">
        <w:rPr>
          <w:rFonts w:ascii="Times New Roman" w:hAnsi="Times New Roman" w:cs="Times New Roman"/>
          <w:sz w:val="20"/>
          <w:lang w:val="en-US"/>
        </w:rPr>
        <w:t>, 2895–2909 (2018).</w:t>
      </w:r>
    </w:p>
    <w:p w:rsidR="00F6048E" w:rsidRPr="00A92B97" w:rsidRDefault="00A92B97" w:rsidP="00A92B97">
      <w:pPr>
        <w:rPr>
          <w:lang w:val="en-US"/>
        </w:rPr>
      </w:pPr>
      <w:r>
        <w:rPr>
          <w:rFonts w:cs="Times New Roman"/>
          <w:szCs w:val="20"/>
        </w:rPr>
        <w:fldChar w:fldCharType="end"/>
      </w:r>
      <w:bookmarkStart w:id="0" w:name="_GoBack"/>
      <w:bookmarkEnd w:id="0"/>
    </w:p>
    <w:sectPr w:rsidR="00F6048E" w:rsidRPr="00A92B9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B97"/>
    <w:rsid w:val="00A92B97"/>
    <w:rsid w:val="00F6048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9B33829-508E-4932-B602-D7E34A25B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92B9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CDCOAuthors">
    <w:name w:val="CDCO Authors"/>
    <w:basedOn w:val="Normale"/>
    <w:link w:val="CDCOAuthorsCarattere"/>
    <w:qFormat/>
    <w:rsid w:val="00A92B97"/>
    <w:pPr>
      <w:suppressAutoHyphens/>
      <w:spacing w:after="120" w:line="240" w:lineRule="auto"/>
      <w:jc w:val="center"/>
    </w:pPr>
    <w:rPr>
      <w:rFonts w:ascii="Times New Roman" w:hAnsi="Times New Roman"/>
      <w:sz w:val="20"/>
      <w:lang w:val="en-US" w:eastAsia="zh-CN"/>
    </w:rPr>
  </w:style>
  <w:style w:type="character" w:customStyle="1" w:styleId="CDCOAuthorsCarattere">
    <w:name w:val="CDCO Authors Carattere"/>
    <w:basedOn w:val="Carpredefinitoparagrafo"/>
    <w:link w:val="CDCOAuthors"/>
    <w:rsid w:val="00A92B97"/>
    <w:rPr>
      <w:rFonts w:ascii="Times New Roman" w:hAnsi="Times New Roman"/>
      <w:sz w:val="20"/>
      <w:lang w:val="en-US" w:eastAsia="zh-CN"/>
    </w:rPr>
  </w:style>
  <w:style w:type="paragraph" w:customStyle="1" w:styleId="CDCOAbstractText">
    <w:name w:val="CDCO Abstract Text"/>
    <w:basedOn w:val="Normale"/>
    <w:link w:val="CDCOAbstractTextCarattere"/>
    <w:qFormat/>
    <w:rsid w:val="00A92B97"/>
    <w:pPr>
      <w:suppressAutoHyphens/>
      <w:spacing w:after="0" w:line="288" w:lineRule="auto"/>
      <w:ind w:firstLine="284"/>
      <w:jc w:val="both"/>
    </w:pPr>
    <w:rPr>
      <w:rFonts w:ascii="Times New Roman" w:hAnsi="Times New Roman"/>
      <w:lang w:val="en-GB" w:eastAsia="zh-CN"/>
    </w:rPr>
  </w:style>
  <w:style w:type="character" w:customStyle="1" w:styleId="CDCOAbstractTextCarattere">
    <w:name w:val="CDCO Abstract Text Carattere"/>
    <w:basedOn w:val="Carpredefinitoparagrafo"/>
    <w:link w:val="CDCOAbstractText"/>
    <w:rsid w:val="00A92B97"/>
    <w:rPr>
      <w:rFonts w:ascii="Times New Roman" w:hAnsi="Times New Roman"/>
      <w:lang w:val="en-GB" w:eastAsia="zh-CN"/>
    </w:rPr>
  </w:style>
  <w:style w:type="paragraph" w:customStyle="1" w:styleId="e-mail">
    <w:name w:val="e-mail"/>
    <w:basedOn w:val="Normale"/>
    <w:link w:val="e-mailCarattere"/>
    <w:qFormat/>
    <w:rsid w:val="00A92B97"/>
    <w:pPr>
      <w:widowControl w:val="0"/>
      <w:suppressAutoHyphens/>
      <w:spacing w:after="0" w:line="240" w:lineRule="auto"/>
      <w:jc w:val="center"/>
    </w:pPr>
    <w:rPr>
      <w:rFonts w:ascii="Times New Roman" w:hAnsi="Times New Roman"/>
      <w:i/>
      <w:sz w:val="20"/>
      <w:lang w:val="en-US" w:eastAsia="zh-CN"/>
    </w:rPr>
  </w:style>
  <w:style w:type="character" w:customStyle="1" w:styleId="e-mailCarattere">
    <w:name w:val="e-mail Carattere"/>
    <w:basedOn w:val="Carpredefinitoparagrafo"/>
    <w:link w:val="e-mail"/>
    <w:rsid w:val="00A92B97"/>
    <w:rPr>
      <w:rFonts w:ascii="Times New Roman" w:hAnsi="Times New Roman"/>
      <w:i/>
      <w:sz w:val="20"/>
      <w:lang w:val="en-US" w:eastAsia="zh-CN"/>
    </w:rPr>
  </w:style>
  <w:style w:type="paragraph" w:customStyle="1" w:styleId="CDCOReferenceTitle">
    <w:name w:val="CDCO Reference (Title)"/>
    <w:basedOn w:val="Normale"/>
    <w:link w:val="CDCOReferenceTitleCarattere"/>
    <w:qFormat/>
    <w:rsid w:val="00A92B97"/>
    <w:pPr>
      <w:suppressAutoHyphens/>
      <w:spacing w:after="0" w:line="288" w:lineRule="auto"/>
      <w:jc w:val="both"/>
    </w:pPr>
    <w:rPr>
      <w:rFonts w:ascii="Times New Roman" w:hAnsi="Times New Roman"/>
      <w:b/>
      <w:lang w:val="en-GB" w:eastAsia="zh-CN"/>
    </w:rPr>
  </w:style>
  <w:style w:type="character" w:customStyle="1" w:styleId="CDCOReferenceTitleCarattere">
    <w:name w:val="CDCO Reference (Title) Carattere"/>
    <w:basedOn w:val="Carpredefinitoparagrafo"/>
    <w:link w:val="CDCOReferenceTitle"/>
    <w:rsid w:val="00A92B97"/>
    <w:rPr>
      <w:rFonts w:ascii="Times New Roman" w:hAnsi="Times New Roman"/>
      <w:b/>
      <w:lang w:val="en-GB" w:eastAsia="zh-CN"/>
    </w:rPr>
  </w:style>
  <w:style w:type="paragraph" w:styleId="NormaleWeb">
    <w:name w:val="Normal (Web)"/>
    <w:basedOn w:val="Normale"/>
    <w:uiPriority w:val="99"/>
    <w:unhideWhenUsed/>
    <w:rsid w:val="00A92B97"/>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Bibliografia">
    <w:name w:val="Bibliography"/>
    <w:basedOn w:val="Normale"/>
    <w:next w:val="Normale"/>
    <w:uiPriority w:val="37"/>
    <w:unhideWhenUsed/>
    <w:rsid w:val="00A92B97"/>
    <w:pPr>
      <w:tabs>
        <w:tab w:val="left" w:pos="264"/>
      </w:tabs>
      <w:spacing w:after="0" w:line="480" w:lineRule="auto"/>
      <w:ind w:left="264" w:hanging="264"/>
    </w:pPr>
  </w:style>
  <w:style w:type="paragraph" w:customStyle="1" w:styleId="paperabstract">
    <w:name w:val="paper_abstract"/>
    <w:basedOn w:val="Normale"/>
    <w:rsid w:val="00A92B97"/>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1597</Words>
  <Characters>9251</Characters>
  <Application>Microsoft Office Word</Application>
  <DocSecurity>0</DocSecurity>
  <Lines>151</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italia</dc:creator>
  <cp:keywords/>
  <dc:description/>
  <cp:lastModifiedBy>luca italia</cp:lastModifiedBy>
  <cp:revision>1</cp:revision>
  <dcterms:created xsi:type="dcterms:W3CDTF">2025-03-18T10:14:00Z</dcterms:created>
  <dcterms:modified xsi:type="dcterms:W3CDTF">2025-03-18T10:14:00Z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e6639f4b-a371-4d88-a447-aa3fefc3d5ed</vt:lpwstr>
  </property>
</Properties>
</file>