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174010" w14:textId="3D85E30F" w:rsidR="00A372A3" w:rsidRPr="00E10B3F" w:rsidRDefault="00E10B3F">
      <w:pPr>
        <w:rPr>
          <w:b/>
          <w:bCs/>
          <w:sz w:val="20"/>
          <w:szCs w:val="20"/>
          <w:lang w:val="en-GB"/>
        </w:rPr>
      </w:pPr>
      <w:r w:rsidRPr="00E10B3F">
        <w:rPr>
          <w:b/>
          <w:bCs/>
          <w:sz w:val="20"/>
          <w:szCs w:val="20"/>
          <w:lang w:val="en-GB"/>
        </w:rPr>
        <w:t>Bortezomib-induced m</w:t>
      </w:r>
      <w:r w:rsidR="00A372A3" w:rsidRPr="00E10B3F">
        <w:rPr>
          <w:b/>
          <w:bCs/>
          <w:sz w:val="20"/>
          <w:szCs w:val="20"/>
          <w:lang w:val="en-GB"/>
        </w:rPr>
        <w:t xml:space="preserve">itochondrial dysfunction in Schwann cells: a novel perspective </w:t>
      </w:r>
      <w:r w:rsidRPr="00E10B3F">
        <w:rPr>
          <w:b/>
          <w:bCs/>
          <w:sz w:val="20"/>
          <w:szCs w:val="20"/>
          <w:lang w:val="en-GB"/>
        </w:rPr>
        <w:t>on</w:t>
      </w:r>
      <w:r w:rsidR="00A372A3" w:rsidRPr="00E10B3F">
        <w:rPr>
          <w:b/>
          <w:bCs/>
          <w:sz w:val="20"/>
          <w:szCs w:val="20"/>
          <w:lang w:val="en-GB"/>
        </w:rPr>
        <w:t xml:space="preserve"> </w:t>
      </w:r>
      <w:r w:rsidRPr="00E10B3F">
        <w:rPr>
          <w:b/>
          <w:bCs/>
          <w:sz w:val="20"/>
          <w:szCs w:val="20"/>
          <w:lang w:val="en-GB"/>
        </w:rPr>
        <w:t>chemotherapy-induced peripheral neuropathy</w:t>
      </w:r>
    </w:p>
    <w:p w14:paraId="6D5DC393" w14:textId="065C027B" w:rsidR="00040409" w:rsidRDefault="00E64341" w:rsidP="008D103D">
      <w:pPr>
        <w:spacing w:after="0"/>
        <w:rPr>
          <w:sz w:val="20"/>
          <w:szCs w:val="20"/>
          <w:lang w:val="en-GB"/>
        </w:rPr>
      </w:pPr>
      <w:r w:rsidRPr="00E64341">
        <w:rPr>
          <w:sz w:val="20"/>
          <w:szCs w:val="20"/>
          <w:lang w:val="en-GB"/>
        </w:rPr>
        <w:t>Chemotherapy</w:t>
      </w:r>
      <w:r w:rsidR="00A0124E">
        <w:rPr>
          <w:sz w:val="20"/>
          <w:szCs w:val="20"/>
          <w:lang w:val="en-GB"/>
        </w:rPr>
        <w:t xml:space="preserve"> (CT)</w:t>
      </w:r>
      <w:r w:rsidRPr="00E64341">
        <w:rPr>
          <w:sz w:val="20"/>
          <w:szCs w:val="20"/>
          <w:lang w:val="en-GB"/>
        </w:rPr>
        <w:t xml:space="preserve">-induced peripheral neuropathy (CIPN) is a common adverse effect </w:t>
      </w:r>
      <w:r>
        <w:rPr>
          <w:sz w:val="20"/>
          <w:szCs w:val="20"/>
          <w:lang w:val="en-GB"/>
        </w:rPr>
        <w:t xml:space="preserve">of the treatment with most classes of antineoplastic drugs, apparently regardless of their different mechanisms of action. </w:t>
      </w:r>
      <w:r w:rsidR="00A0124E">
        <w:rPr>
          <w:sz w:val="20"/>
          <w:szCs w:val="20"/>
          <w:lang w:val="en-GB"/>
        </w:rPr>
        <w:t>CIPN-related symptoms affect the motor/sensory system and deeply impair patients’ quality of life; this, combined with the lack of effective treatment options, frequently leads to CT dose reduction</w:t>
      </w:r>
      <w:r w:rsidR="00040409">
        <w:rPr>
          <w:sz w:val="20"/>
          <w:szCs w:val="20"/>
          <w:lang w:val="en-GB"/>
        </w:rPr>
        <w:t xml:space="preserve">, inevitably </w:t>
      </w:r>
      <w:r w:rsidR="00F03A77">
        <w:rPr>
          <w:sz w:val="20"/>
          <w:szCs w:val="20"/>
          <w:lang w:val="en-GB"/>
        </w:rPr>
        <w:t>reducing</w:t>
      </w:r>
      <w:r w:rsidR="00E138BB">
        <w:rPr>
          <w:sz w:val="20"/>
          <w:szCs w:val="20"/>
          <w:lang w:val="en-GB"/>
        </w:rPr>
        <w:t xml:space="preserve"> its </w:t>
      </w:r>
      <w:r w:rsidR="00040409">
        <w:rPr>
          <w:sz w:val="20"/>
          <w:szCs w:val="20"/>
          <w:lang w:val="en-GB"/>
        </w:rPr>
        <w:t xml:space="preserve">efficacy. </w:t>
      </w:r>
    </w:p>
    <w:p w14:paraId="5DBC345B" w14:textId="3F3D594B" w:rsidR="00CF4599" w:rsidRDefault="00E64341">
      <w:pPr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t xml:space="preserve">Traditionally, </w:t>
      </w:r>
      <w:r w:rsidR="0033101D">
        <w:rPr>
          <w:sz w:val="20"/>
          <w:szCs w:val="20"/>
          <w:lang w:val="en-GB"/>
        </w:rPr>
        <w:t>sensory</w:t>
      </w:r>
      <w:r>
        <w:rPr>
          <w:sz w:val="20"/>
          <w:szCs w:val="20"/>
          <w:lang w:val="en-GB"/>
        </w:rPr>
        <w:t xml:space="preserve"> neurons have been recognized as the primary target for chemotherapy toxicity, but recently glial cells in the peripheral nervous system, including satellite and Schwann cells, have also gained attention </w:t>
      </w:r>
      <w:r w:rsidR="00A0124E">
        <w:rPr>
          <w:sz w:val="20"/>
          <w:szCs w:val="20"/>
          <w:lang w:val="en-GB"/>
        </w:rPr>
        <w:t xml:space="preserve">with respect to CIPN. </w:t>
      </w:r>
      <w:r w:rsidR="00040409">
        <w:rPr>
          <w:sz w:val="20"/>
          <w:szCs w:val="20"/>
          <w:lang w:val="en-GB"/>
        </w:rPr>
        <w:t xml:space="preserve">Many molecular mechanisms have been proposed to be involved in CIPN pathogenesis, with mitochondrial dysfunction as one of the most common </w:t>
      </w:r>
      <w:r w:rsidR="00F03A77">
        <w:rPr>
          <w:sz w:val="20"/>
          <w:szCs w:val="20"/>
          <w:lang w:val="en-GB"/>
        </w:rPr>
        <w:t xml:space="preserve">hallmarks </w:t>
      </w:r>
      <w:r w:rsidR="00040409">
        <w:rPr>
          <w:sz w:val="20"/>
          <w:szCs w:val="20"/>
          <w:lang w:val="en-GB"/>
        </w:rPr>
        <w:t xml:space="preserve">among different classes of CT drugs. </w:t>
      </w:r>
    </w:p>
    <w:p w14:paraId="64AD2580" w14:textId="151D1AC0" w:rsidR="00D30F9F" w:rsidRDefault="00CF4599">
      <w:pPr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t xml:space="preserve">Mitochondrial dysfunction induced by </w:t>
      </w:r>
      <w:r w:rsidR="00FB6670">
        <w:rPr>
          <w:sz w:val="20"/>
          <w:szCs w:val="20"/>
          <w:lang w:val="en-GB"/>
        </w:rPr>
        <w:t>b</w:t>
      </w:r>
      <w:r>
        <w:rPr>
          <w:sz w:val="20"/>
          <w:szCs w:val="20"/>
          <w:lang w:val="en-GB"/>
        </w:rPr>
        <w:t>ortezomib (BTZ), a 1</w:t>
      </w:r>
      <w:r w:rsidRPr="00CF4599">
        <w:rPr>
          <w:sz w:val="20"/>
          <w:szCs w:val="20"/>
          <w:vertAlign w:val="superscript"/>
          <w:lang w:val="en-GB"/>
        </w:rPr>
        <w:t>st</w:t>
      </w:r>
      <w:r>
        <w:rPr>
          <w:sz w:val="20"/>
          <w:szCs w:val="20"/>
          <w:lang w:val="en-GB"/>
        </w:rPr>
        <w:t xml:space="preserve"> generation proteasome inhibitor</w:t>
      </w:r>
      <w:r w:rsidR="005A3B77">
        <w:rPr>
          <w:sz w:val="20"/>
          <w:szCs w:val="20"/>
          <w:lang w:val="en-GB"/>
        </w:rPr>
        <w:t xml:space="preserve"> employed aga</w:t>
      </w:r>
      <w:r w:rsidR="005156A4">
        <w:rPr>
          <w:sz w:val="20"/>
          <w:szCs w:val="20"/>
          <w:lang w:val="en-GB"/>
        </w:rPr>
        <w:t>inst multiple myeloma</w:t>
      </w:r>
      <w:r>
        <w:rPr>
          <w:sz w:val="20"/>
          <w:szCs w:val="20"/>
          <w:lang w:val="en-GB"/>
        </w:rPr>
        <w:t>, has been largely described in</w:t>
      </w:r>
      <w:r w:rsidR="0033101D">
        <w:rPr>
          <w:sz w:val="20"/>
          <w:szCs w:val="20"/>
          <w:lang w:val="en-GB"/>
        </w:rPr>
        <w:t xml:space="preserve"> sen</w:t>
      </w:r>
      <w:r w:rsidR="0000624A">
        <w:rPr>
          <w:sz w:val="20"/>
          <w:szCs w:val="20"/>
          <w:lang w:val="en-GB"/>
        </w:rPr>
        <w:t>sory</w:t>
      </w:r>
      <w:r>
        <w:rPr>
          <w:sz w:val="20"/>
          <w:szCs w:val="20"/>
          <w:lang w:val="en-GB"/>
        </w:rPr>
        <w:t xml:space="preserve"> neurons, with respect to both morphology and functionality. Accordingly, we decided to investigate BTZ-related toxicity </w:t>
      </w:r>
      <w:r w:rsidR="00B508DA">
        <w:rPr>
          <w:sz w:val="20"/>
          <w:szCs w:val="20"/>
          <w:lang w:val="en-GB"/>
        </w:rPr>
        <w:t xml:space="preserve">on mitochondria </w:t>
      </w:r>
      <w:r>
        <w:rPr>
          <w:sz w:val="20"/>
          <w:szCs w:val="20"/>
          <w:lang w:val="en-GB"/>
        </w:rPr>
        <w:t xml:space="preserve">also in MSC80, </w:t>
      </w:r>
      <w:r w:rsidR="00424965">
        <w:rPr>
          <w:sz w:val="20"/>
          <w:szCs w:val="20"/>
          <w:lang w:val="en-GB"/>
        </w:rPr>
        <w:t xml:space="preserve">a </w:t>
      </w:r>
      <w:r>
        <w:rPr>
          <w:sz w:val="20"/>
          <w:szCs w:val="20"/>
          <w:lang w:val="en-GB"/>
        </w:rPr>
        <w:t xml:space="preserve">murine cell line chosen as model for Schwann cells. </w:t>
      </w:r>
      <w:r w:rsidR="00040BD1">
        <w:rPr>
          <w:sz w:val="20"/>
          <w:szCs w:val="20"/>
          <w:lang w:val="en-GB"/>
        </w:rPr>
        <w:t xml:space="preserve">In line with studies conducted on neurons, we found that a 24h treatment with BTZ 10nM </w:t>
      </w:r>
      <w:r w:rsidR="00E105DD">
        <w:rPr>
          <w:sz w:val="20"/>
          <w:szCs w:val="20"/>
          <w:lang w:val="en-GB"/>
        </w:rPr>
        <w:t>leads to</w:t>
      </w:r>
      <w:r w:rsidR="00F37105">
        <w:rPr>
          <w:sz w:val="20"/>
          <w:szCs w:val="20"/>
          <w:lang w:val="en-GB"/>
        </w:rPr>
        <w:t xml:space="preserve"> a</w:t>
      </w:r>
      <w:r w:rsidR="00D24A81">
        <w:rPr>
          <w:sz w:val="20"/>
          <w:szCs w:val="20"/>
          <w:lang w:val="en-GB"/>
        </w:rPr>
        <w:t xml:space="preserve"> significative reduction of the mitochondrial membrane potential (</w:t>
      </w:r>
      <w:proofErr w:type="spellStart"/>
      <w:r w:rsidR="00D24A81" w:rsidRPr="00D24A81">
        <w:rPr>
          <w:sz w:val="20"/>
          <w:szCs w:val="20"/>
        </w:rPr>
        <w:t>Δψ</w:t>
      </w:r>
      <w:proofErr w:type="spellEnd"/>
      <w:r w:rsidR="00D24A81" w:rsidRPr="00D24A81">
        <w:rPr>
          <w:sz w:val="20"/>
          <w:szCs w:val="20"/>
          <w:vertAlign w:val="subscript"/>
          <w:lang w:val="en-GB"/>
        </w:rPr>
        <w:t>m</w:t>
      </w:r>
      <w:r w:rsidR="00D24A81">
        <w:rPr>
          <w:sz w:val="20"/>
          <w:szCs w:val="20"/>
          <w:lang w:val="en-GB"/>
        </w:rPr>
        <w:t>).</w:t>
      </w:r>
      <w:r w:rsidR="00BA5E63">
        <w:rPr>
          <w:sz w:val="20"/>
          <w:szCs w:val="20"/>
          <w:lang w:val="en-GB"/>
        </w:rPr>
        <w:t xml:space="preserve"> Regarding the m</w:t>
      </w:r>
      <w:r w:rsidR="00D24A81">
        <w:rPr>
          <w:sz w:val="20"/>
          <w:szCs w:val="20"/>
          <w:lang w:val="en-GB"/>
        </w:rPr>
        <w:t xml:space="preserve">orphology, BTZ </w:t>
      </w:r>
      <w:r>
        <w:rPr>
          <w:sz w:val="20"/>
          <w:szCs w:val="20"/>
          <w:lang w:val="en-GB"/>
        </w:rPr>
        <w:t xml:space="preserve">induces evident perinuclear clustering </w:t>
      </w:r>
      <w:r w:rsidR="0010486E">
        <w:rPr>
          <w:sz w:val="20"/>
          <w:szCs w:val="20"/>
          <w:lang w:val="en-GB"/>
        </w:rPr>
        <w:t xml:space="preserve">of mitochondria and drastic rearrangements of the mitochondrial network. </w:t>
      </w:r>
      <w:r w:rsidR="00BA5E63">
        <w:rPr>
          <w:sz w:val="20"/>
          <w:szCs w:val="20"/>
          <w:lang w:val="en-GB"/>
        </w:rPr>
        <w:t>Moreover, t</w:t>
      </w:r>
      <w:r w:rsidR="0010486E">
        <w:rPr>
          <w:sz w:val="20"/>
          <w:szCs w:val="20"/>
          <w:lang w:val="en-GB"/>
        </w:rPr>
        <w:t>he treatment results as well in an almost complete loss of mitochondri</w:t>
      </w:r>
      <w:r w:rsidR="00EC769E">
        <w:rPr>
          <w:sz w:val="20"/>
          <w:szCs w:val="20"/>
          <w:lang w:val="en-GB"/>
        </w:rPr>
        <w:t>a</w:t>
      </w:r>
      <w:r w:rsidR="00675C16">
        <w:rPr>
          <w:sz w:val="20"/>
          <w:szCs w:val="20"/>
          <w:lang w:val="en-GB"/>
        </w:rPr>
        <w:t xml:space="preserve">-endoplasmic reticulum (ER) </w:t>
      </w:r>
      <w:r w:rsidR="0010486E">
        <w:rPr>
          <w:sz w:val="20"/>
          <w:szCs w:val="20"/>
          <w:lang w:val="en-GB"/>
        </w:rPr>
        <w:t>contact sites</w:t>
      </w:r>
      <w:r w:rsidR="00675C16">
        <w:rPr>
          <w:sz w:val="20"/>
          <w:szCs w:val="20"/>
          <w:lang w:val="en-GB"/>
        </w:rPr>
        <w:t xml:space="preserve"> (MERCS)</w:t>
      </w:r>
      <w:r w:rsidR="0010486E">
        <w:rPr>
          <w:sz w:val="20"/>
          <w:szCs w:val="20"/>
          <w:lang w:val="en-GB"/>
        </w:rPr>
        <w:t xml:space="preserve"> at different distance ranges</w:t>
      </w:r>
      <w:r w:rsidR="00D24A81">
        <w:rPr>
          <w:sz w:val="20"/>
          <w:szCs w:val="20"/>
          <w:lang w:val="en-GB"/>
        </w:rPr>
        <w:t xml:space="preserve"> (as measured with a palette of SPLICS sensors)</w:t>
      </w:r>
      <w:r w:rsidR="0010486E">
        <w:rPr>
          <w:sz w:val="20"/>
          <w:szCs w:val="20"/>
          <w:lang w:val="en-GB"/>
        </w:rPr>
        <w:t xml:space="preserve">, </w:t>
      </w:r>
      <w:commentRangeStart w:id="0"/>
      <w:r w:rsidR="00040BD1">
        <w:rPr>
          <w:sz w:val="20"/>
          <w:szCs w:val="20"/>
          <w:lang w:val="en-GB"/>
        </w:rPr>
        <w:t xml:space="preserve">surprisingly without </w:t>
      </w:r>
      <w:r w:rsidR="004B431A">
        <w:rPr>
          <w:sz w:val="20"/>
          <w:szCs w:val="20"/>
          <w:lang w:val="en-GB"/>
        </w:rPr>
        <w:t>directly hindering</w:t>
      </w:r>
      <w:r w:rsidR="0010486E">
        <w:rPr>
          <w:sz w:val="20"/>
          <w:szCs w:val="20"/>
          <w:lang w:val="en-GB"/>
        </w:rPr>
        <w:t xml:space="preserve"> ER-mitochondrial </w:t>
      </w:r>
      <w:r w:rsidR="00040BD1">
        <w:rPr>
          <w:sz w:val="20"/>
          <w:szCs w:val="20"/>
          <w:lang w:val="en-GB"/>
        </w:rPr>
        <w:t>Ca</w:t>
      </w:r>
      <w:r w:rsidR="00040BD1" w:rsidRPr="00040BD1">
        <w:rPr>
          <w:sz w:val="20"/>
          <w:szCs w:val="20"/>
          <w:vertAlign w:val="superscript"/>
          <w:lang w:val="en-GB"/>
        </w:rPr>
        <w:t>2+</w:t>
      </w:r>
      <w:r w:rsidR="00040BD1">
        <w:rPr>
          <w:sz w:val="20"/>
          <w:szCs w:val="20"/>
          <w:lang w:val="en-GB"/>
        </w:rPr>
        <w:t xml:space="preserve"> transfer,</w:t>
      </w:r>
      <w:r w:rsidR="008E05DF">
        <w:rPr>
          <w:sz w:val="20"/>
          <w:szCs w:val="20"/>
          <w:lang w:val="en-GB"/>
        </w:rPr>
        <w:t xml:space="preserve"> that is finely tuned at the level of MERCS</w:t>
      </w:r>
      <w:commentRangeEnd w:id="0"/>
      <w:r w:rsidR="007B0ECB">
        <w:rPr>
          <w:rStyle w:val="Rimandocommento"/>
        </w:rPr>
        <w:commentReference w:id="0"/>
      </w:r>
      <w:r w:rsidR="00040BD1">
        <w:rPr>
          <w:sz w:val="20"/>
          <w:szCs w:val="20"/>
          <w:lang w:val="en-GB"/>
        </w:rPr>
        <w:t xml:space="preserve">. </w:t>
      </w:r>
    </w:p>
    <w:p w14:paraId="73CB01B8" w14:textId="1440E5A3" w:rsidR="00F03A77" w:rsidRPr="00E64341" w:rsidRDefault="00F03A77">
      <w:pPr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t xml:space="preserve">Intriguingly, </w:t>
      </w:r>
      <w:r w:rsidR="004A6F77">
        <w:rPr>
          <w:sz w:val="20"/>
          <w:szCs w:val="20"/>
          <w:lang w:val="en-GB"/>
        </w:rPr>
        <w:t xml:space="preserve">we also </w:t>
      </w:r>
      <w:r w:rsidR="00066DA5">
        <w:rPr>
          <w:sz w:val="20"/>
          <w:szCs w:val="20"/>
          <w:lang w:val="en-GB"/>
        </w:rPr>
        <w:t>observed</w:t>
      </w:r>
      <w:r w:rsidR="004A6F77">
        <w:rPr>
          <w:sz w:val="20"/>
          <w:szCs w:val="20"/>
          <w:lang w:val="en-GB"/>
        </w:rPr>
        <w:t xml:space="preserve"> that </w:t>
      </w:r>
      <w:r>
        <w:rPr>
          <w:sz w:val="20"/>
          <w:szCs w:val="20"/>
          <w:lang w:val="en-GB"/>
        </w:rPr>
        <w:t>allopregnanolone, a cholesterol derivative belonging to the class of neuroactive steroids,</w:t>
      </w:r>
      <w:r w:rsidR="00CE3EDA">
        <w:rPr>
          <w:sz w:val="20"/>
          <w:szCs w:val="20"/>
          <w:lang w:val="en-GB"/>
        </w:rPr>
        <w:t xml:space="preserve"> </w:t>
      </w:r>
      <w:r>
        <w:rPr>
          <w:sz w:val="20"/>
          <w:szCs w:val="20"/>
          <w:lang w:val="en-GB"/>
        </w:rPr>
        <w:t>partially revert</w:t>
      </w:r>
      <w:r w:rsidR="00E073DB">
        <w:rPr>
          <w:sz w:val="20"/>
          <w:szCs w:val="20"/>
          <w:lang w:val="en-GB"/>
        </w:rPr>
        <w:t>s</w:t>
      </w:r>
      <w:r>
        <w:rPr>
          <w:sz w:val="20"/>
          <w:szCs w:val="20"/>
          <w:lang w:val="en-GB"/>
        </w:rPr>
        <w:t xml:space="preserve"> both morphological and functional alterations induced by BTZ in MSC80, holding promise for further applications </w:t>
      </w:r>
      <w:r w:rsidR="004901D1">
        <w:rPr>
          <w:sz w:val="20"/>
          <w:szCs w:val="20"/>
          <w:lang w:val="en-GB"/>
        </w:rPr>
        <w:t xml:space="preserve">against </w:t>
      </w:r>
      <w:r>
        <w:rPr>
          <w:sz w:val="20"/>
          <w:szCs w:val="20"/>
          <w:lang w:val="en-GB"/>
        </w:rPr>
        <w:t>CIPN.</w:t>
      </w:r>
    </w:p>
    <w:sectPr w:rsidR="00F03A77" w:rsidRPr="00E64341" w:rsidSect="00E6434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comment w:id="0" w:author="Elisa Tonelli" w:date="2024-09-14T21:13:00Z" w:initials="ET">
    <w:p w14:paraId="466DA248" w14:textId="77777777" w:rsidR="007B0ECB" w:rsidRDefault="007B0ECB" w:rsidP="007B0ECB">
      <w:pPr>
        <w:pStyle w:val="Testocommento"/>
      </w:pPr>
      <w:r>
        <w:rPr>
          <w:rStyle w:val="Rimandocommento"/>
        </w:rPr>
        <w:annotationRef/>
      </w:r>
      <w:r>
        <w:t>In realtà il dato in sé è abbastanza definitivo, perché è evidente che nonostante la riduzione dei contatti il calcio arrivi comunque alla matrice mitocondriale, in qualche modo. È vero però che non sappiamo (almeno per ora) dare una vera e propria spiegazione di come faccia, quindi è sicuramente meglio andarci un po’ più leggeri! Secondo me scritta così potrebbe essere meno “definitiva” e lasciare più spazio di manovra, senza aggiungere troppe parole che mi farebbero sforare il limite di 300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commentEx w15:paraId="466DA248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1D03167F" w16cex:dateUtc="2024-09-14T19:1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466DA248" w16cid:durableId="1D03167F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Elisa Tonelli">
    <w15:presenceInfo w15:providerId="Windows Live" w15:userId="998c3efaca477af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341"/>
    <w:rsid w:val="0000204C"/>
    <w:rsid w:val="0000624A"/>
    <w:rsid w:val="00040409"/>
    <w:rsid w:val="00040BD1"/>
    <w:rsid w:val="00066DA5"/>
    <w:rsid w:val="000A1BA5"/>
    <w:rsid w:val="0010486E"/>
    <w:rsid w:val="00216684"/>
    <w:rsid w:val="0033101D"/>
    <w:rsid w:val="003313B2"/>
    <w:rsid w:val="003A1E0B"/>
    <w:rsid w:val="00424965"/>
    <w:rsid w:val="004901D1"/>
    <w:rsid w:val="004A6F77"/>
    <w:rsid w:val="004B431A"/>
    <w:rsid w:val="004C5FE8"/>
    <w:rsid w:val="005156A4"/>
    <w:rsid w:val="005A3B77"/>
    <w:rsid w:val="005C7D3D"/>
    <w:rsid w:val="0065033D"/>
    <w:rsid w:val="00675C16"/>
    <w:rsid w:val="0070249D"/>
    <w:rsid w:val="00703D6A"/>
    <w:rsid w:val="00764336"/>
    <w:rsid w:val="007B0ECB"/>
    <w:rsid w:val="008521EC"/>
    <w:rsid w:val="008D103D"/>
    <w:rsid w:val="008E05DF"/>
    <w:rsid w:val="00955E11"/>
    <w:rsid w:val="009E1E8C"/>
    <w:rsid w:val="00A0124E"/>
    <w:rsid w:val="00A372A3"/>
    <w:rsid w:val="00AD078B"/>
    <w:rsid w:val="00B508DA"/>
    <w:rsid w:val="00B63D63"/>
    <w:rsid w:val="00B73CB7"/>
    <w:rsid w:val="00B8330E"/>
    <w:rsid w:val="00BA5E63"/>
    <w:rsid w:val="00BC2B48"/>
    <w:rsid w:val="00C550BA"/>
    <w:rsid w:val="00CB00AE"/>
    <w:rsid w:val="00CC0BB2"/>
    <w:rsid w:val="00CE3EDA"/>
    <w:rsid w:val="00CF4599"/>
    <w:rsid w:val="00D24A81"/>
    <w:rsid w:val="00D30F9F"/>
    <w:rsid w:val="00E073DB"/>
    <w:rsid w:val="00E105DD"/>
    <w:rsid w:val="00E10B3F"/>
    <w:rsid w:val="00E138BB"/>
    <w:rsid w:val="00E64341"/>
    <w:rsid w:val="00E85BBE"/>
    <w:rsid w:val="00EA416E"/>
    <w:rsid w:val="00EC769E"/>
    <w:rsid w:val="00F03A77"/>
    <w:rsid w:val="00F37105"/>
    <w:rsid w:val="00FA3682"/>
    <w:rsid w:val="00FB6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C336F4"/>
  <w15:chartTrackingRefBased/>
  <w15:docId w15:val="{79323B35-139D-4C4B-970A-A2B0BCFC3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E643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643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6434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643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6434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6434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6434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6434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6434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6434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6434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6434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64341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64341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6434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6434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6434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6434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6434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643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643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643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643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64341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6434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64341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6434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64341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64341"/>
    <w:rPr>
      <w:b/>
      <w:bCs/>
      <w:smallCaps/>
      <w:color w:val="0F4761" w:themeColor="accent1" w:themeShade="BF"/>
      <w:spacing w:val="5"/>
    </w:rPr>
  </w:style>
  <w:style w:type="character" w:styleId="Rimandocommento">
    <w:name w:val="annotation reference"/>
    <w:basedOn w:val="Carpredefinitoparagrafo"/>
    <w:uiPriority w:val="99"/>
    <w:semiHidden/>
    <w:unhideWhenUsed/>
    <w:rsid w:val="004C5FE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4C5FE8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4C5FE8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C5FE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C5FE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microsoft.com/office/2018/08/relationships/commentsExtensible" Target="commentsExtensi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6/09/relationships/commentsIds" Target="commentsIds.xml"/><Relationship Id="rId5" Type="http://schemas.microsoft.com/office/2011/relationships/commentsExtended" Target="commentsExtended.xml"/><Relationship Id="rId10" Type="http://schemas.openxmlformats.org/officeDocument/2006/relationships/theme" Target="theme/theme1.xml"/><Relationship Id="rId4" Type="http://schemas.openxmlformats.org/officeDocument/2006/relationships/comments" Target="comment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506</TotalTime>
  <Pages>1</Pages>
  <Words>340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 Tonelli</dc:creator>
  <cp:keywords/>
  <dc:description/>
  <cp:lastModifiedBy>Elisa Tonelli</cp:lastModifiedBy>
  <cp:revision>3</cp:revision>
  <dcterms:created xsi:type="dcterms:W3CDTF">2024-09-14T18:43:00Z</dcterms:created>
  <dcterms:modified xsi:type="dcterms:W3CDTF">2024-09-14T19:13:00Z</dcterms:modified>
</cp:coreProperties>
</file>